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Garamond" w:hAnsi="Garamond"/>
          <w:b/>
          <w:sz w:val="24"/>
          <w:szCs w:val="24"/>
          <w:u w:val="single"/>
        </w:rPr>
        <w:id w:val="1434401996"/>
        <w:docPartObj>
          <w:docPartGallery w:val="Cover Pages"/>
          <w:docPartUnique/>
        </w:docPartObj>
      </w:sdtPr>
      <w:sdtEndPr/>
      <w:sdtContent>
        <w:p w:rsidR="00E43F09" w:rsidRDefault="00E43F09">
          <w:pPr>
            <w:rPr>
              <w:rFonts w:ascii="Garamond" w:hAnsi="Garamond"/>
              <w:b/>
              <w:sz w:val="24"/>
              <w:szCs w:val="24"/>
              <w:u w:val="single"/>
            </w:rPr>
          </w:pPr>
          <w:r w:rsidRPr="00E43F09">
            <w:rPr>
              <w:rFonts w:ascii="Garamond" w:hAnsi="Garamond"/>
              <w:b/>
              <w:noProof/>
              <w:sz w:val="24"/>
              <w:szCs w:val="24"/>
              <w:u w:val="single"/>
            </w:rPr>
            <mc:AlternateContent>
              <mc:Choice Requires="wps">
                <w:drawing>
                  <wp:anchor distT="0" distB="0" distL="114300" distR="114300" simplePos="0" relativeHeight="251661312" behindDoc="0" locked="0" layoutInCell="1" allowOverlap="1">
                    <wp:simplePos x="0" y="0"/>
                    <wp:positionH relativeFrom="page">
                      <wp:posOffset>476250</wp:posOffset>
                    </wp:positionH>
                    <wp:positionV relativeFrom="page">
                      <wp:posOffset>2025650</wp:posOffset>
                    </wp:positionV>
                    <wp:extent cx="6869651" cy="7480300"/>
                    <wp:effectExtent l="0" t="0" r="7620" b="6350"/>
                    <wp:wrapNone/>
                    <wp:docPr id="138" name="Text Box 138"/>
                    <wp:cNvGraphicFramePr/>
                    <a:graphic xmlns:a="http://schemas.openxmlformats.org/drawingml/2006/main">
                      <a:graphicData uri="http://schemas.microsoft.com/office/word/2010/wordprocessingShape">
                        <wps:wsp>
                          <wps:cNvSpPr txBox="1"/>
                          <wps:spPr>
                            <a:xfrm>
                              <a:off x="0" y="0"/>
                              <a:ext cx="6869651" cy="748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4"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10057"/>
                                  <w:gridCol w:w="738"/>
                                </w:tblGrid>
                                <w:tr w:rsidR="00515151" w:rsidTr="00043977">
                                  <w:trPr>
                                    <w:jc w:val="center"/>
                                  </w:trPr>
                                  <w:tc>
                                    <w:tcPr>
                                      <w:tcW w:w="4658" w:type="pct"/>
                                      <w:vAlign w:val="center"/>
                                    </w:tcPr>
                                    <w:p w:rsidR="00515151" w:rsidRDefault="00515151">
                                      <w:pPr>
                                        <w:jc w:val="right"/>
                                      </w:pPr>
                                    </w:p>
                                    <w:sdt>
                                      <w:sdtPr>
                                        <w:rPr>
                                          <w:rFonts w:ascii="Garamond" w:hAnsi="Garamond"/>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515151" w:rsidRDefault="00515151">
                                          <w:pPr>
                                            <w:pStyle w:val="NoSpacing"/>
                                            <w:spacing w:line="312" w:lineRule="auto"/>
                                            <w:jc w:val="right"/>
                                            <w:rPr>
                                              <w:caps/>
                                              <w:color w:val="191919" w:themeColor="text1" w:themeTint="E6"/>
                                              <w:sz w:val="72"/>
                                              <w:szCs w:val="72"/>
                                            </w:rPr>
                                          </w:pPr>
                                          <w:r>
                                            <w:rPr>
                                              <w:rFonts w:ascii="Garamond" w:hAnsi="Garamond"/>
                                              <w:caps/>
                                              <w:color w:val="191919" w:themeColor="text1" w:themeTint="E6"/>
                                              <w:sz w:val="72"/>
                                              <w:szCs w:val="72"/>
                                            </w:rPr>
                                            <w:t>Places fellowship</w:t>
                                          </w:r>
                                          <w:r w:rsidR="00043977">
                                            <w:rPr>
                                              <w:rFonts w:ascii="Garamond" w:hAnsi="Garamond"/>
                                              <w:caps/>
                                              <w:color w:val="191919" w:themeColor="text1" w:themeTint="E6"/>
                                              <w:sz w:val="72"/>
                                              <w:szCs w:val="72"/>
                                            </w:rPr>
                                            <w:t xml:space="preserve"> </w:t>
                                          </w:r>
                                          <w:r>
                                            <w:rPr>
                                              <w:rFonts w:ascii="Garamond" w:hAnsi="Garamond"/>
                                              <w:caps/>
                                              <w:color w:val="191919" w:themeColor="text1" w:themeTint="E6"/>
                                              <w:sz w:val="72"/>
                                              <w:szCs w:val="72"/>
                                            </w:rPr>
                                            <w:t xml:space="preserve"> five-year </w:t>
                                          </w:r>
                                          <w:r w:rsidR="00043977">
                                            <w:rPr>
                                              <w:rFonts w:ascii="Garamond" w:hAnsi="Garamond"/>
                                              <w:caps/>
                                              <w:color w:val="191919" w:themeColor="text1" w:themeTint="E6"/>
                                              <w:sz w:val="72"/>
                                              <w:szCs w:val="72"/>
                                            </w:rPr>
                                            <w:t xml:space="preserve">         </w:t>
                                          </w:r>
                                          <w:r>
                                            <w:rPr>
                                              <w:rFonts w:ascii="Garamond" w:hAnsi="Garamond"/>
                                              <w:caps/>
                                              <w:color w:val="191919" w:themeColor="text1" w:themeTint="E6"/>
                                              <w:sz w:val="72"/>
                                              <w:szCs w:val="72"/>
                                            </w:rPr>
                                            <w:t>strategic plan</w:t>
                                          </w:r>
                                        </w:p>
                                      </w:sdtContent>
                                    </w:sdt>
                                    <w:p w:rsidR="00515151" w:rsidRDefault="00515151" w:rsidP="003E43F7">
                                      <w:pPr>
                                        <w:jc w:val="right"/>
                                        <w:rPr>
                                          <w:i/>
                                          <w:sz w:val="16"/>
                                          <w:szCs w:val="16"/>
                                        </w:rPr>
                                      </w:pPr>
                                    </w:p>
                                    <w:p w:rsidR="00561285" w:rsidRDefault="00561285" w:rsidP="003E43F7">
                                      <w:pPr>
                                        <w:jc w:val="right"/>
                                        <w:rPr>
                                          <w:i/>
                                          <w:sz w:val="16"/>
                                          <w:szCs w:val="16"/>
                                        </w:rPr>
                                      </w:pPr>
                                    </w:p>
                                    <w:p w:rsidR="00561285" w:rsidRDefault="00561285" w:rsidP="003E43F7">
                                      <w:pPr>
                                        <w:jc w:val="right"/>
                                        <w:rPr>
                                          <w:i/>
                                          <w:sz w:val="16"/>
                                          <w:szCs w:val="16"/>
                                        </w:rPr>
                                      </w:pPr>
                                    </w:p>
                                    <w:p w:rsidR="00561285" w:rsidRDefault="00561285" w:rsidP="003E43F7">
                                      <w:pPr>
                                        <w:jc w:val="right"/>
                                        <w:rPr>
                                          <w:i/>
                                          <w:sz w:val="16"/>
                                          <w:szCs w:val="16"/>
                                        </w:rPr>
                                      </w:pPr>
                                    </w:p>
                                    <w:p w:rsidR="00561285" w:rsidRDefault="00561285" w:rsidP="00561285">
                                      <w:pPr>
                                        <w:rPr>
                                          <w:i/>
                                          <w:sz w:val="16"/>
                                          <w:szCs w:val="16"/>
                                        </w:rPr>
                                      </w:pPr>
                                    </w:p>
                                    <w:sdt>
                                      <w:sdtPr>
                                        <w:rPr>
                                          <w:i/>
                                          <w:sz w:val="16"/>
                                          <w:szCs w:val="1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561285" w:rsidRPr="00561285" w:rsidRDefault="00561285" w:rsidP="00561285">
                                          <w:pPr>
                                            <w:jc w:val="right"/>
                                            <w:rPr>
                                              <w:i/>
                                              <w:sz w:val="16"/>
                                              <w:szCs w:val="16"/>
                                            </w:rPr>
                                          </w:pPr>
                                          <w:r w:rsidRPr="00561285">
                                            <w:rPr>
                                              <w:i/>
                                              <w:sz w:val="16"/>
                                              <w:szCs w:val="16"/>
                                            </w:rPr>
                                            <w:t>Submitted by Dion Cartwright</w:t>
                                          </w:r>
                                        </w:p>
                                      </w:sdtContent>
                                    </w:sdt>
                                    <w:p w:rsidR="00515151" w:rsidRDefault="00F77D51" w:rsidP="00561285">
                                      <w:pPr>
                                        <w:jc w:val="right"/>
                                        <w:rPr>
                                          <w:i/>
                                          <w:sz w:val="16"/>
                                          <w:szCs w:val="16"/>
                                        </w:rPr>
                                      </w:pPr>
                                      <w:sdt>
                                        <w:sdtPr>
                                          <w:rPr>
                                            <w:i/>
                                            <w:sz w:val="16"/>
                                            <w:szCs w:val="16"/>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561285" w:rsidRPr="00561285">
                                            <w:rPr>
                                              <w:i/>
                                              <w:sz w:val="16"/>
                                              <w:szCs w:val="16"/>
                                            </w:rPr>
                                            <w:t>TFN, Director of Equitable Initiatives &amp; Leadership Development</w:t>
                                          </w:r>
                                        </w:sdtContent>
                                      </w:sdt>
                                    </w:p>
                                    <w:p w:rsidR="00515151" w:rsidRDefault="00515151" w:rsidP="003E43F7">
                                      <w:pPr>
                                        <w:jc w:val="right"/>
                                        <w:rPr>
                                          <w:i/>
                                          <w:sz w:val="16"/>
                                          <w:szCs w:val="16"/>
                                        </w:rPr>
                                      </w:pPr>
                                    </w:p>
                                    <w:p w:rsidR="00515151" w:rsidRDefault="00515151" w:rsidP="003E43F7">
                                      <w:pPr>
                                        <w:jc w:val="right"/>
                                        <w:rPr>
                                          <w:i/>
                                          <w:sz w:val="16"/>
                                          <w:szCs w:val="16"/>
                                        </w:rPr>
                                      </w:pPr>
                                    </w:p>
                                    <w:p w:rsidR="00515151" w:rsidRDefault="00515151" w:rsidP="003E43F7">
                                      <w:pPr>
                                        <w:jc w:val="right"/>
                                        <w:rPr>
                                          <w:i/>
                                          <w:sz w:val="16"/>
                                          <w:szCs w:val="16"/>
                                        </w:rPr>
                                      </w:pPr>
                                    </w:p>
                                    <w:p w:rsidR="00515151" w:rsidRDefault="00515151" w:rsidP="003E43F7">
                                      <w:pPr>
                                        <w:jc w:val="right"/>
                                        <w:rPr>
                                          <w:i/>
                                          <w:sz w:val="16"/>
                                          <w:szCs w:val="16"/>
                                        </w:rPr>
                                      </w:pPr>
                                    </w:p>
                                    <w:p w:rsidR="00515151" w:rsidRDefault="00515151" w:rsidP="003E43F7">
                                      <w:pPr>
                                        <w:jc w:val="right"/>
                                        <w:rPr>
                                          <w:i/>
                                          <w:sz w:val="16"/>
                                          <w:szCs w:val="16"/>
                                        </w:rPr>
                                      </w:pPr>
                                    </w:p>
                                    <w:p w:rsidR="00515151" w:rsidRDefault="00515151" w:rsidP="003E43F7">
                                      <w:pPr>
                                        <w:jc w:val="right"/>
                                        <w:rPr>
                                          <w:i/>
                                          <w:sz w:val="16"/>
                                          <w:szCs w:val="16"/>
                                        </w:rPr>
                                      </w:pPr>
                                    </w:p>
                                    <w:p w:rsidR="00515151" w:rsidRPr="006E473A" w:rsidRDefault="00515151" w:rsidP="003E43F7">
                                      <w:pPr>
                                        <w:jc w:val="right"/>
                                        <w:rPr>
                                          <w:i/>
                                          <w:sz w:val="16"/>
                                          <w:szCs w:val="16"/>
                                        </w:rPr>
                                      </w:pPr>
                                    </w:p>
                                  </w:tc>
                                  <w:tc>
                                    <w:tcPr>
                                      <w:tcW w:w="342" w:type="pct"/>
                                      <w:vAlign w:val="center"/>
                                    </w:tcPr>
                                    <w:p w:rsidR="00515151" w:rsidRDefault="00515151" w:rsidP="003E43F7">
                                      <w:pPr>
                                        <w:pStyle w:val="NoSpacing"/>
                                      </w:pPr>
                                    </w:p>
                                  </w:tc>
                                </w:tr>
                              </w:tbl>
                              <w:p w:rsidR="00515151" w:rsidRDefault="0051515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8" o:spid="_x0000_s1026" type="#_x0000_t202" style="position:absolute;margin-left:37.5pt;margin-top:159.5pt;width:540.9pt;height:58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" fillcolor="white [3201]" stroked="f" strokeweight=".5pt">
                    <v:textbox inset="0,0,0,0">
                      <w:txbxContent>
                        <w:tbl>
                          <w:tblPr>
                            <w:tblW w:w="4994"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10057"/>
                            <w:gridCol w:w="738"/>
                          </w:tblGrid>
                          <w:tr w:rsidR="00515151" w:rsidTr="00043977">
                            <w:trPr>
                              <w:jc w:val="center"/>
                            </w:trPr>
                            <w:tc>
                              <w:tcPr>
                                <w:tcW w:w="4658" w:type="pct"/>
                                <w:vAlign w:val="center"/>
                              </w:tcPr>
                              <w:p w:rsidR="00515151" w:rsidRDefault="00515151">
                                <w:pPr>
                                  <w:jc w:val="right"/>
                                </w:pPr>
                              </w:p>
                              <w:sdt>
                                <w:sdtPr>
                                  <w:rPr>
                                    <w:rFonts w:ascii="Garamond" w:hAnsi="Garamond"/>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515151" w:rsidRDefault="00515151">
                                    <w:pPr>
                                      <w:pStyle w:val="NoSpacing"/>
                                      <w:spacing w:line="312" w:lineRule="auto"/>
                                      <w:jc w:val="right"/>
                                      <w:rPr>
                                        <w:caps/>
                                        <w:color w:val="191919" w:themeColor="text1" w:themeTint="E6"/>
                                        <w:sz w:val="72"/>
                                        <w:szCs w:val="72"/>
                                      </w:rPr>
                                    </w:pPr>
                                    <w:r>
                                      <w:rPr>
                                        <w:rFonts w:ascii="Garamond" w:hAnsi="Garamond"/>
                                        <w:caps/>
                                        <w:color w:val="191919" w:themeColor="text1" w:themeTint="E6"/>
                                        <w:sz w:val="72"/>
                                        <w:szCs w:val="72"/>
                                      </w:rPr>
                                      <w:t>Places fellowship</w:t>
                                    </w:r>
                                    <w:r w:rsidR="00043977">
                                      <w:rPr>
                                        <w:rFonts w:ascii="Garamond" w:hAnsi="Garamond"/>
                                        <w:caps/>
                                        <w:color w:val="191919" w:themeColor="text1" w:themeTint="E6"/>
                                        <w:sz w:val="72"/>
                                        <w:szCs w:val="72"/>
                                      </w:rPr>
                                      <w:t xml:space="preserve"> </w:t>
                                    </w:r>
                                    <w:r>
                                      <w:rPr>
                                        <w:rFonts w:ascii="Garamond" w:hAnsi="Garamond"/>
                                        <w:caps/>
                                        <w:color w:val="191919" w:themeColor="text1" w:themeTint="E6"/>
                                        <w:sz w:val="72"/>
                                        <w:szCs w:val="72"/>
                                      </w:rPr>
                                      <w:t xml:space="preserve"> five-year </w:t>
                                    </w:r>
                                    <w:r w:rsidR="00043977">
                                      <w:rPr>
                                        <w:rFonts w:ascii="Garamond" w:hAnsi="Garamond"/>
                                        <w:caps/>
                                        <w:color w:val="191919" w:themeColor="text1" w:themeTint="E6"/>
                                        <w:sz w:val="72"/>
                                        <w:szCs w:val="72"/>
                                      </w:rPr>
                                      <w:t xml:space="preserve">         </w:t>
                                    </w:r>
                                    <w:r>
                                      <w:rPr>
                                        <w:rFonts w:ascii="Garamond" w:hAnsi="Garamond"/>
                                        <w:caps/>
                                        <w:color w:val="191919" w:themeColor="text1" w:themeTint="E6"/>
                                        <w:sz w:val="72"/>
                                        <w:szCs w:val="72"/>
                                      </w:rPr>
                                      <w:t>strategic plan</w:t>
                                    </w:r>
                                  </w:p>
                                </w:sdtContent>
                              </w:sdt>
                              <w:p w:rsidR="00515151" w:rsidRDefault="00515151" w:rsidP="003E43F7">
                                <w:pPr>
                                  <w:jc w:val="right"/>
                                  <w:rPr>
                                    <w:i/>
                                    <w:sz w:val="16"/>
                                    <w:szCs w:val="16"/>
                                  </w:rPr>
                                </w:pPr>
                              </w:p>
                              <w:p w:rsidR="00561285" w:rsidRDefault="00561285" w:rsidP="003E43F7">
                                <w:pPr>
                                  <w:jc w:val="right"/>
                                  <w:rPr>
                                    <w:i/>
                                    <w:sz w:val="16"/>
                                    <w:szCs w:val="16"/>
                                  </w:rPr>
                                </w:pPr>
                              </w:p>
                              <w:p w:rsidR="00561285" w:rsidRDefault="00561285" w:rsidP="003E43F7">
                                <w:pPr>
                                  <w:jc w:val="right"/>
                                  <w:rPr>
                                    <w:i/>
                                    <w:sz w:val="16"/>
                                    <w:szCs w:val="16"/>
                                  </w:rPr>
                                </w:pPr>
                              </w:p>
                              <w:p w:rsidR="00561285" w:rsidRDefault="00561285" w:rsidP="003E43F7">
                                <w:pPr>
                                  <w:jc w:val="right"/>
                                  <w:rPr>
                                    <w:i/>
                                    <w:sz w:val="16"/>
                                    <w:szCs w:val="16"/>
                                  </w:rPr>
                                </w:pPr>
                              </w:p>
                              <w:p w:rsidR="00561285" w:rsidRDefault="00561285" w:rsidP="00561285">
                                <w:pPr>
                                  <w:rPr>
                                    <w:i/>
                                    <w:sz w:val="16"/>
                                    <w:szCs w:val="16"/>
                                  </w:rPr>
                                </w:pPr>
                              </w:p>
                              <w:sdt>
                                <w:sdtPr>
                                  <w:rPr>
                                    <w:i/>
                                    <w:sz w:val="16"/>
                                    <w:szCs w:val="1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561285" w:rsidRPr="00561285" w:rsidRDefault="00561285" w:rsidP="00561285">
                                    <w:pPr>
                                      <w:jc w:val="right"/>
                                      <w:rPr>
                                        <w:i/>
                                        <w:sz w:val="16"/>
                                        <w:szCs w:val="16"/>
                                      </w:rPr>
                                    </w:pPr>
                                    <w:r w:rsidRPr="00561285">
                                      <w:rPr>
                                        <w:i/>
                                        <w:sz w:val="16"/>
                                        <w:szCs w:val="16"/>
                                      </w:rPr>
                                      <w:t>Submitted by Dion Cartwright</w:t>
                                    </w:r>
                                  </w:p>
                                </w:sdtContent>
                              </w:sdt>
                              <w:p w:rsidR="00515151" w:rsidRDefault="00F77D51" w:rsidP="00561285">
                                <w:pPr>
                                  <w:jc w:val="right"/>
                                  <w:rPr>
                                    <w:i/>
                                    <w:sz w:val="16"/>
                                    <w:szCs w:val="16"/>
                                  </w:rPr>
                                </w:pPr>
                                <w:sdt>
                                  <w:sdtPr>
                                    <w:rPr>
                                      <w:i/>
                                      <w:sz w:val="16"/>
                                      <w:szCs w:val="16"/>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561285" w:rsidRPr="00561285">
                                      <w:rPr>
                                        <w:i/>
                                        <w:sz w:val="16"/>
                                        <w:szCs w:val="16"/>
                                      </w:rPr>
                                      <w:t>TFN, Director of Equitable Initiatives &amp; Leadership Development</w:t>
                                    </w:r>
                                  </w:sdtContent>
                                </w:sdt>
                              </w:p>
                              <w:p w:rsidR="00515151" w:rsidRDefault="00515151" w:rsidP="003E43F7">
                                <w:pPr>
                                  <w:jc w:val="right"/>
                                  <w:rPr>
                                    <w:i/>
                                    <w:sz w:val="16"/>
                                    <w:szCs w:val="16"/>
                                  </w:rPr>
                                </w:pPr>
                              </w:p>
                              <w:p w:rsidR="00515151" w:rsidRDefault="00515151" w:rsidP="003E43F7">
                                <w:pPr>
                                  <w:jc w:val="right"/>
                                  <w:rPr>
                                    <w:i/>
                                    <w:sz w:val="16"/>
                                    <w:szCs w:val="16"/>
                                  </w:rPr>
                                </w:pPr>
                              </w:p>
                              <w:p w:rsidR="00515151" w:rsidRDefault="00515151" w:rsidP="003E43F7">
                                <w:pPr>
                                  <w:jc w:val="right"/>
                                  <w:rPr>
                                    <w:i/>
                                    <w:sz w:val="16"/>
                                    <w:szCs w:val="16"/>
                                  </w:rPr>
                                </w:pPr>
                              </w:p>
                              <w:p w:rsidR="00515151" w:rsidRDefault="00515151" w:rsidP="003E43F7">
                                <w:pPr>
                                  <w:jc w:val="right"/>
                                  <w:rPr>
                                    <w:i/>
                                    <w:sz w:val="16"/>
                                    <w:szCs w:val="16"/>
                                  </w:rPr>
                                </w:pPr>
                              </w:p>
                              <w:p w:rsidR="00515151" w:rsidRDefault="00515151" w:rsidP="003E43F7">
                                <w:pPr>
                                  <w:jc w:val="right"/>
                                  <w:rPr>
                                    <w:i/>
                                    <w:sz w:val="16"/>
                                    <w:szCs w:val="16"/>
                                  </w:rPr>
                                </w:pPr>
                              </w:p>
                              <w:p w:rsidR="00515151" w:rsidRDefault="00515151" w:rsidP="003E43F7">
                                <w:pPr>
                                  <w:jc w:val="right"/>
                                  <w:rPr>
                                    <w:i/>
                                    <w:sz w:val="16"/>
                                    <w:szCs w:val="16"/>
                                  </w:rPr>
                                </w:pPr>
                              </w:p>
                              <w:p w:rsidR="00515151" w:rsidRPr="006E473A" w:rsidRDefault="00515151" w:rsidP="003E43F7">
                                <w:pPr>
                                  <w:jc w:val="right"/>
                                  <w:rPr>
                                    <w:i/>
                                    <w:sz w:val="16"/>
                                    <w:szCs w:val="16"/>
                                  </w:rPr>
                                </w:pPr>
                              </w:p>
                            </w:tc>
                            <w:tc>
                              <w:tcPr>
                                <w:tcW w:w="342" w:type="pct"/>
                                <w:vAlign w:val="center"/>
                              </w:tcPr>
                              <w:p w:rsidR="00515151" w:rsidRDefault="00515151" w:rsidP="003E43F7">
                                <w:pPr>
                                  <w:pStyle w:val="NoSpacing"/>
                                </w:pPr>
                              </w:p>
                            </w:tc>
                          </w:tr>
                        </w:tbl>
                        <w:p w:rsidR="00515151" w:rsidRDefault="00515151"/>
                      </w:txbxContent>
                    </v:textbox>
                    <w10:wrap anchorx="page" anchory="page"/>
                  </v:shape>
                </w:pict>
              </mc:Fallback>
            </mc:AlternateContent>
          </w:r>
          <w:r>
            <w:rPr>
              <w:rFonts w:ascii="Garamond" w:hAnsi="Garamond"/>
              <w:b/>
              <w:sz w:val="24"/>
              <w:szCs w:val="24"/>
              <w:u w:val="single"/>
            </w:rPr>
            <w:br w:type="page"/>
          </w:r>
        </w:p>
      </w:sdtContent>
    </w:sdt>
    <w:p w:rsidR="0089666F" w:rsidRPr="00B34BC2" w:rsidRDefault="0089666F" w:rsidP="0089666F">
      <w:pPr>
        <w:pStyle w:val="ListParagraph"/>
        <w:spacing w:after="0" w:line="240" w:lineRule="auto"/>
        <w:ind w:left="0"/>
        <w:jc w:val="center"/>
        <w:rPr>
          <w:rFonts w:ascii="Garamond" w:hAnsi="Garamond"/>
        </w:rPr>
      </w:pPr>
    </w:p>
    <w:p w:rsidR="00043977" w:rsidRDefault="00043977" w:rsidP="00043977">
      <w:pPr>
        <w:pStyle w:val="ListParagraph"/>
        <w:spacing w:after="0" w:line="240" w:lineRule="auto"/>
        <w:ind w:left="0"/>
        <w:rPr>
          <w:rFonts w:ascii="Garamond" w:hAnsi="Garamond"/>
          <w:b/>
          <w:sz w:val="28"/>
          <w:szCs w:val="28"/>
          <w:u w:val="single"/>
        </w:rPr>
      </w:pPr>
      <w:r>
        <w:rPr>
          <w:rFonts w:ascii="Garamond" w:hAnsi="Garamond"/>
          <w:b/>
          <w:sz w:val="28"/>
          <w:szCs w:val="28"/>
          <w:u w:val="single"/>
        </w:rPr>
        <w:t>PLACES Introduction and Overview</w:t>
      </w:r>
    </w:p>
    <w:p w:rsidR="00043977" w:rsidRPr="00D3401C" w:rsidRDefault="00043977" w:rsidP="00043977">
      <w:pPr>
        <w:pStyle w:val="ListParagraph"/>
        <w:spacing w:after="0" w:line="240" w:lineRule="auto"/>
        <w:ind w:left="0"/>
        <w:rPr>
          <w:rFonts w:ascii="Garamond" w:hAnsi="Garamond"/>
          <w:sz w:val="24"/>
          <w:szCs w:val="24"/>
        </w:rPr>
      </w:pPr>
    </w:p>
    <w:p w:rsidR="00043977" w:rsidRPr="00D3401C" w:rsidRDefault="00043977" w:rsidP="00043977">
      <w:pPr>
        <w:pStyle w:val="ListParagraph"/>
        <w:spacing w:after="0" w:line="240" w:lineRule="auto"/>
        <w:ind w:left="0"/>
        <w:rPr>
          <w:rFonts w:ascii="Garamond" w:hAnsi="Garamond"/>
          <w:sz w:val="24"/>
          <w:szCs w:val="24"/>
        </w:rPr>
      </w:pPr>
      <w:r w:rsidRPr="00D3401C">
        <w:rPr>
          <w:rFonts w:ascii="Garamond" w:hAnsi="Garamond"/>
          <w:sz w:val="24"/>
          <w:szCs w:val="24"/>
        </w:rPr>
        <w:t>PLACES</w:t>
      </w:r>
      <w:r>
        <w:rPr>
          <w:rFonts w:ascii="Garamond" w:hAnsi="Garamond"/>
          <w:sz w:val="24"/>
          <w:szCs w:val="24"/>
        </w:rPr>
        <w:t xml:space="preserve"> (Professionals Learning About Community Equity and Smart Growth)</w:t>
      </w:r>
      <w:r w:rsidRPr="00D3401C">
        <w:rPr>
          <w:rFonts w:ascii="Garamond" w:hAnsi="Garamond"/>
          <w:sz w:val="24"/>
          <w:szCs w:val="24"/>
        </w:rPr>
        <w:t xml:space="preserve"> is a program of the Funders’ Network for Smart Growth and Livable Communities. The mission of the Funders’ Network is to inspire, strengthen and expand funding and philanthropic leadership that yield environmentally sustainable, socially equitable and economically prosperous regions and communities. Founded in 1999, the vision of the Funders' Network is to be the leading resource in philanthropy for interdisciplinary and transformative thinking and action that gives all people the opportunity to live in more environmentally sustainable, socially equitable and economically prosperous regions and communities.  </w:t>
      </w:r>
    </w:p>
    <w:p w:rsidR="00043977" w:rsidRPr="00D3401C" w:rsidRDefault="00043977" w:rsidP="00043977">
      <w:pPr>
        <w:pStyle w:val="ListParagraph"/>
        <w:spacing w:after="0" w:line="240" w:lineRule="auto"/>
        <w:ind w:left="0"/>
        <w:rPr>
          <w:rFonts w:ascii="Garamond" w:hAnsi="Garamond"/>
          <w:sz w:val="24"/>
          <w:szCs w:val="24"/>
        </w:rPr>
      </w:pPr>
      <w:r w:rsidRPr="00D3401C">
        <w:rPr>
          <w:rFonts w:ascii="Garamond" w:hAnsi="Garamond"/>
          <w:sz w:val="24"/>
          <w:szCs w:val="24"/>
        </w:rPr>
        <w:t xml:space="preserve"> </w:t>
      </w:r>
    </w:p>
    <w:p w:rsidR="00043977" w:rsidRPr="00D3401C" w:rsidRDefault="00043977" w:rsidP="00043977">
      <w:pPr>
        <w:spacing w:after="0" w:line="240" w:lineRule="auto"/>
        <w:rPr>
          <w:rFonts w:ascii="Garamond" w:hAnsi="Garamond"/>
          <w:sz w:val="24"/>
          <w:szCs w:val="24"/>
        </w:rPr>
      </w:pPr>
      <w:r w:rsidRPr="00D3401C">
        <w:rPr>
          <w:rFonts w:ascii="Garamond" w:hAnsi="Garamond"/>
          <w:sz w:val="24"/>
          <w:szCs w:val="24"/>
        </w:rPr>
        <w:t xml:space="preserve">The Network strives to:  </w:t>
      </w:r>
    </w:p>
    <w:p w:rsidR="00043977" w:rsidRPr="00D3401C" w:rsidRDefault="00043977" w:rsidP="00043977">
      <w:pPr>
        <w:pStyle w:val="ListParagraph"/>
        <w:numPr>
          <w:ilvl w:val="0"/>
          <w:numId w:val="34"/>
        </w:numPr>
        <w:spacing w:after="0" w:line="240" w:lineRule="auto"/>
        <w:rPr>
          <w:rFonts w:ascii="Garamond" w:hAnsi="Garamond"/>
          <w:sz w:val="24"/>
          <w:szCs w:val="24"/>
        </w:rPr>
      </w:pPr>
      <w:r w:rsidRPr="00D3401C">
        <w:rPr>
          <w:rFonts w:ascii="Garamond" w:hAnsi="Garamond"/>
          <w:sz w:val="24"/>
          <w:szCs w:val="24"/>
        </w:rPr>
        <w:t xml:space="preserve">Improve philanthropic understanding about connections between growth and development issues and environmental, economic, and social outcomes; </w:t>
      </w:r>
    </w:p>
    <w:p w:rsidR="00043977" w:rsidRPr="00D3401C" w:rsidRDefault="00043977" w:rsidP="00043977">
      <w:pPr>
        <w:pStyle w:val="ListParagraph"/>
        <w:numPr>
          <w:ilvl w:val="0"/>
          <w:numId w:val="34"/>
        </w:numPr>
        <w:spacing w:after="0" w:line="240" w:lineRule="auto"/>
        <w:rPr>
          <w:rFonts w:ascii="Garamond" w:hAnsi="Garamond"/>
          <w:sz w:val="24"/>
          <w:szCs w:val="24"/>
        </w:rPr>
      </w:pPr>
      <w:r w:rsidRPr="00D3401C">
        <w:rPr>
          <w:rFonts w:ascii="Garamond" w:hAnsi="Garamond"/>
          <w:sz w:val="24"/>
          <w:szCs w:val="24"/>
        </w:rPr>
        <w:t xml:space="preserve">Motivate greater individual and collective philanthropic leadership on these issues; </w:t>
      </w:r>
    </w:p>
    <w:p w:rsidR="00043977" w:rsidRPr="00D3401C" w:rsidRDefault="00043977" w:rsidP="00043977">
      <w:pPr>
        <w:pStyle w:val="ListParagraph"/>
        <w:numPr>
          <w:ilvl w:val="0"/>
          <w:numId w:val="34"/>
        </w:numPr>
        <w:spacing w:after="0" w:line="240" w:lineRule="auto"/>
        <w:rPr>
          <w:rFonts w:ascii="Garamond" w:hAnsi="Garamond"/>
          <w:sz w:val="24"/>
          <w:szCs w:val="24"/>
        </w:rPr>
      </w:pPr>
      <w:r w:rsidRPr="00D3401C">
        <w:rPr>
          <w:rFonts w:ascii="Garamond" w:hAnsi="Garamond"/>
          <w:sz w:val="24"/>
          <w:szCs w:val="24"/>
        </w:rPr>
        <w:t xml:space="preserve">Encourage more funders to make investments to advance innovative solutions; and </w:t>
      </w:r>
    </w:p>
    <w:p w:rsidR="00043977" w:rsidRPr="00D3401C" w:rsidRDefault="00043977" w:rsidP="00043977">
      <w:pPr>
        <w:pStyle w:val="ListParagraph"/>
        <w:numPr>
          <w:ilvl w:val="0"/>
          <w:numId w:val="34"/>
        </w:numPr>
        <w:spacing w:after="0" w:line="240" w:lineRule="auto"/>
        <w:rPr>
          <w:rFonts w:ascii="Garamond" w:hAnsi="Garamond"/>
          <w:sz w:val="24"/>
          <w:szCs w:val="24"/>
        </w:rPr>
      </w:pPr>
      <w:r w:rsidRPr="00D3401C">
        <w:rPr>
          <w:rFonts w:ascii="Garamond" w:hAnsi="Garamond"/>
          <w:sz w:val="24"/>
          <w:szCs w:val="24"/>
        </w:rPr>
        <w:t xml:space="preserve">Strengthen relationships, connections, and networks among funders. </w:t>
      </w:r>
    </w:p>
    <w:p w:rsidR="00043977" w:rsidRPr="00D3401C" w:rsidRDefault="00043977" w:rsidP="00043977">
      <w:pPr>
        <w:pStyle w:val="ListParagraph"/>
        <w:spacing w:after="0" w:line="240" w:lineRule="auto"/>
        <w:ind w:left="0"/>
        <w:rPr>
          <w:rFonts w:ascii="Garamond" w:hAnsi="Garamond"/>
          <w:sz w:val="24"/>
          <w:szCs w:val="24"/>
        </w:rPr>
      </w:pPr>
      <w:r w:rsidRPr="00D3401C">
        <w:rPr>
          <w:rFonts w:ascii="Garamond" w:hAnsi="Garamond"/>
          <w:sz w:val="24"/>
          <w:szCs w:val="24"/>
        </w:rPr>
        <w:t xml:space="preserve"> </w:t>
      </w:r>
    </w:p>
    <w:p w:rsidR="00043977" w:rsidRPr="00D3401C" w:rsidRDefault="00043977" w:rsidP="00043977">
      <w:pPr>
        <w:pStyle w:val="ListParagraph"/>
        <w:spacing w:after="0" w:line="240" w:lineRule="auto"/>
        <w:ind w:left="0"/>
        <w:rPr>
          <w:rFonts w:ascii="Garamond" w:hAnsi="Garamond"/>
          <w:sz w:val="24"/>
          <w:szCs w:val="24"/>
        </w:rPr>
      </w:pPr>
      <w:r w:rsidRPr="00D3401C">
        <w:rPr>
          <w:rFonts w:ascii="Garamond" w:hAnsi="Garamond"/>
          <w:sz w:val="24"/>
          <w:szCs w:val="24"/>
        </w:rPr>
        <w:t xml:space="preserve">A primary strategy of the Network is to cultivate emerging funder interest and new opportunities for funder engagement and leadership that yield a persistent focus on equity and inclusiveness (people) and a deep understanding of the attributes of sustainable, equitable, and prosperous regions and communities (place). The PLACES program is a key strategy for achieving this goal.  </w:t>
      </w:r>
    </w:p>
    <w:p w:rsidR="00043977" w:rsidRPr="00D3401C" w:rsidRDefault="00043977" w:rsidP="00043977">
      <w:pPr>
        <w:pStyle w:val="ListParagraph"/>
        <w:spacing w:after="0" w:line="240" w:lineRule="auto"/>
        <w:ind w:left="0"/>
        <w:rPr>
          <w:rFonts w:ascii="Garamond" w:hAnsi="Garamond"/>
          <w:sz w:val="24"/>
          <w:szCs w:val="24"/>
        </w:rPr>
      </w:pPr>
    </w:p>
    <w:p w:rsidR="00043977" w:rsidRPr="00D3401C" w:rsidRDefault="00043977" w:rsidP="00043977">
      <w:pPr>
        <w:pStyle w:val="ListParagraph"/>
        <w:spacing w:after="0" w:line="240" w:lineRule="auto"/>
        <w:ind w:left="0"/>
        <w:rPr>
          <w:rFonts w:ascii="Garamond" w:hAnsi="Garamond"/>
          <w:sz w:val="24"/>
          <w:szCs w:val="24"/>
        </w:rPr>
      </w:pPr>
      <w:r w:rsidRPr="00D3401C">
        <w:rPr>
          <w:rFonts w:ascii="Garamond" w:hAnsi="Garamond"/>
          <w:sz w:val="24"/>
          <w:szCs w:val="24"/>
        </w:rPr>
        <w:t xml:space="preserve">Through PLACES, the Network builds the skills and knowledge of a diverse cohort of professionals in philanthropy to better understand issues of race, equity and inclusiveness, which are then translated into their </w:t>
      </w:r>
      <w:proofErr w:type="spellStart"/>
      <w:r w:rsidRPr="00D3401C">
        <w:rPr>
          <w:rFonts w:ascii="Garamond" w:hAnsi="Garamond"/>
          <w:sz w:val="24"/>
          <w:szCs w:val="24"/>
        </w:rPr>
        <w:t>grantmaking</w:t>
      </w:r>
      <w:proofErr w:type="spellEnd"/>
      <w:r w:rsidRPr="00D3401C">
        <w:rPr>
          <w:rFonts w:ascii="Garamond" w:hAnsi="Garamond"/>
          <w:sz w:val="24"/>
          <w:szCs w:val="24"/>
        </w:rPr>
        <w:t xml:space="preserve"> practices. Further, the PLACES program helps the Network become more inclusive by connecting the Network to people who share its perspectives and experiences with race, equity and inclusiveness. Finally, the PLACES graduates develop tools and practices for advancing grant making with an equity focus; these tools will be leveraged and distributed throughout the field of philanthropy.</w:t>
      </w:r>
    </w:p>
    <w:p w:rsidR="00043977" w:rsidRPr="00D3401C" w:rsidRDefault="00043977" w:rsidP="00043977">
      <w:pPr>
        <w:pStyle w:val="ListParagraph"/>
        <w:spacing w:after="0" w:line="240" w:lineRule="auto"/>
        <w:ind w:left="0"/>
        <w:rPr>
          <w:rFonts w:ascii="Garamond" w:hAnsi="Garamond"/>
          <w:sz w:val="24"/>
          <w:szCs w:val="24"/>
        </w:rPr>
      </w:pPr>
    </w:p>
    <w:p w:rsidR="00043977" w:rsidRPr="00D3401C" w:rsidRDefault="00043977" w:rsidP="00043977">
      <w:pPr>
        <w:pStyle w:val="ListParagraph"/>
        <w:spacing w:after="0" w:line="240" w:lineRule="auto"/>
        <w:ind w:left="0"/>
        <w:rPr>
          <w:rFonts w:ascii="Garamond" w:hAnsi="Garamond"/>
          <w:sz w:val="24"/>
          <w:szCs w:val="24"/>
        </w:rPr>
      </w:pPr>
      <w:r w:rsidRPr="00D3401C">
        <w:rPr>
          <w:rFonts w:ascii="Garamond" w:hAnsi="Garamond"/>
          <w:sz w:val="24"/>
          <w:szCs w:val="24"/>
        </w:rPr>
        <w:t xml:space="preserve">The first class of seven PLACES fellows graduated in 2009. An eighth class of 16 fellows graduated in </w:t>
      </w:r>
      <w:r>
        <w:rPr>
          <w:rFonts w:ascii="Garamond" w:hAnsi="Garamond"/>
          <w:sz w:val="24"/>
          <w:szCs w:val="24"/>
        </w:rPr>
        <w:t>December,</w:t>
      </w:r>
      <w:r w:rsidRPr="00D3401C">
        <w:rPr>
          <w:rFonts w:ascii="Garamond" w:hAnsi="Garamond"/>
          <w:sz w:val="24"/>
          <w:szCs w:val="24"/>
        </w:rPr>
        <w:t xml:space="preserve"> 2017. Since 2009, the Network has graduated 111 Fellows through the program. Fellows come from a variety of institutions and hold positions as varied as president, director, program officer, and program associate. The majority of fellows are mid-level professionals at their philanthropic organizations and show promising potential to make a lasting impact in their institutions and in the field. All fellows go through a competitive application process and are selected based on a variety of factors, especially a commitment to learning about equity in the context of place-based </w:t>
      </w:r>
      <w:proofErr w:type="spellStart"/>
      <w:r w:rsidRPr="00D3401C">
        <w:rPr>
          <w:rFonts w:ascii="Garamond" w:hAnsi="Garamond"/>
          <w:sz w:val="24"/>
          <w:szCs w:val="24"/>
        </w:rPr>
        <w:t>grantmaking</w:t>
      </w:r>
      <w:proofErr w:type="spellEnd"/>
      <w:r w:rsidRPr="00D3401C">
        <w:rPr>
          <w:rFonts w:ascii="Garamond" w:hAnsi="Garamond"/>
          <w:sz w:val="24"/>
          <w:szCs w:val="24"/>
        </w:rPr>
        <w:t xml:space="preserve"> and a willingness to invest in their professional and personal growth. TFN strives to have representation from </w:t>
      </w:r>
      <w:proofErr w:type="spellStart"/>
      <w:r w:rsidRPr="00D3401C">
        <w:rPr>
          <w:rFonts w:ascii="Garamond" w:hAnsi="Garamond"/>
          <w:sz w:val="24"/>
          <w:szCs w:val="24"/>
        </w:rPr>
        <w:t>grantmakers</w:t>
      </w:r>
      <w:proofErr w:type="spellEnd"/>
      <w:r w:rsidRPr="00D3401C">
        <w:rPr>
          <w:rFonts w:ascii="Garamond" w:hAnsi="Garamond"/>
          <w:sz w:val="24"/>
          <w:szCs w:val="24"/>
        </w:rPr>
        <w:t xml:space="preserve"> of various sizes and classifications. </w:t>
      </w:r>
    </w:p>
    <w:p w:rsidR="00043977" w:rsidRDefault="00043977" w:rsidP="00043977">
      <w:pPr>
        <w:pStyle w:val="ListParagraph"/>
        <w:spacing w:after="0" w:line="240" w:lineRule="auto"/>
        <w:ind w:left="0"/>
        <w:rPr>
          <w:rFonts w:ascii="Garamond" w:hAnsi="Garamond"/>
          <w:b/>
          <w:sz w:val="28"/>
          <w:szCs w:val="28"/>
          <w:u w:val="single"/>
        </w:rPr>
      </w:pPr>
    </w:p>
    <w:p w:rsidR="00043977" w:rsidRPr="00905D6D" w:rsidRDefault="00D45C08" w:rsidP="00043977">
      <w:pPr>
        <w:pStyle w:val="ListParagraph"/>
        <w:spacing w:after="0" w:line="240" w:lineRule="auto"/>
        <w:ind w:left="0"/>
        <w:rPr>
          <w:rFonts w:ascii="Garamond" w:hAnsi="Garamond"/>
          <w:b/>
          <w:sz w:val="24"/>
          <w:szCs w:val="24"/>
        </w:rPr>
      </w:pPr>
      <w:r>
        <w:rPr>
          <w:rFonts w:ascii="Garamond" w:hAnsi="Garamond"/>
          <w:b/>
          <w:sz w:val="28"/>
          <w:szCs w:val="28"/>
          <w:u w:val="single"/>
        </w:rPr>
        <w:t xml:space="preserve">PLACES </w:t>
      </w:r>
      <w:r w:rsidR="00043977" w:rsidRPr="00CB3D8C">
        <w:rPr>
          <w:rFonts w:ascii="Garamond" w:hAnsi="Garamond"/>
          <w:b/>
          <w:sz w:val="28"/>
          <w:szCs w:val="28"/>
          <w:u w:val="single"/>
        </w:rPr>
        <w:t>Mission</w:t>
      </w:r>
      <w:r w:rsidR="00043977" w:rsidRPr="00905D6D">
        <w:rPr>
          <w:rFonts w:ascii="Garamond" w:hAnsi="Garamond"/>
          <w:sz w:val="24"/>
          <w:szCs w:val="24"/>
        </w:rPr>
        <w:t>:</w:t>
      </w:r>
    </w:p>
    <w:p w:rsidR="00043977" w:rsidRPr="00905D6D" w:rsidRDefault="00043977" w:rsidP="00043977">
      <w:pPr>
        <w:pStyle w:val="ListParagraph"/>
        <w:spacing w:after="0" w:line="240" w:lineRule="auto"/>
        <w:ind w:left="0"/>
        <w:rPr>
          <w:rFonts w:ascii="Garamond" w:hAnsi="Garamond"/>
          <w:b/>
          <w:sz w:val="24"/>
          <w:szCs w:val="24"/>
        </w:rPr>
      </w:pPr>
    </w:p>
    <w:p w:rsidR="00043977" w:rsidRDefault="00043977" w:rsidP="00043977">
      <w:pPr>
        <w:pStyle w:val="ListParagraph"/>
        <w:spacing w:after="0" w:line="240" w:lineRule="auto"/>
        <w:ind w:left="0"/>
        <w:rPr>
          <w:rFonts w:ascii="Garamond" w:hAnsi="Garamond"/>
          <w:sz w:val="24"/>
          <w:szCs w:val="24"/>
        </w:rPr>
      </w:pPr>
      <w:r w:rsidRPr="00905D6D">
        <w:rPr>
          <w:rFonts w:ascii="Garamond" w:hAnsi="Garamond"/>
          <w:sz w:val="24"/>
          <w:szCs w:val="24"/>
        </w:rPr>
        <w:t xml:space="preserve">Build the skills and knowledge of a diverse network of professionals in philanthropy to better understand issues of </w:t>
      </w:r>
      <w:r>
        <w:rPr>
          <w:rFonts w:ascii="Garamond" w:hAnsi="Garamond"/>
          <w:sz w:val="24"/>
          <w:szCs w:val="24"/>
        </w:rPr>
        <w:t xml:space="preserve">race, </w:t>
      </w:r>
      <w:r w:rsidRPr="00905D6D">
        <w:rPr>
          <w:rFonts w:ascii="Garamond" w:hAnsi="Garamond"/>
          <w:sz w:val="24"/>
          <w:szCs w:val="24"/>
        </w:rPr>
        <w:t xml:space="preserve">equity and inclusiveness, to model the behavior and translate it into </w:t>
      </w:r>
      <w:proofErr w:type="spellStart"/>
      <w:r w:rsidRPr="00905D6D">
        <w:rPr>
          <w:rFonts w:ascii="Garamond" w:hAnsi="Garamond"/>
          <w:sz w:val="24"/>
          <w:szCs w:val="24"/>
        </w:rPr>
        <w:t>grantmaking</w:t>
      </w:r>
      <w:proofErr w:type="spellEnd"/>
      <w:r w:rsidRPr="00905D6D">
        <w:rPr>
          <w:rFonts w:ascii="Garamond" w:hAnsi="Garamond"/>
          <w:sz w:val="24"/>
          <w:szCs w:val="24"/>
        </w:rPr>
        <w:t xml:space="preserve"> practices. </w:t>
      </w:r>
    </w:p>
    <w:p w:rsidR="00043977" w:rsidRDefault="00043977" w:rsidP="0089666F">
      <w:pPr>
        <w:pStyle w:val="ListParagraph"/>
        <w:spacing w:after="0" w:line="240" w:lineRule="auto"/>
        <w:ind w:left="0"/>
        <w:jc w:val="center"/>
        <w:rPr>
          <w:rFonts w:ascii="Garamond" w:hAnsi="Garamond"/>
          <w:b/>
          <w:sz w:val="28"/>
          <w:szCs w:val="28"/>
        </w:rPr>
      </w:pPr>
    </w:p>
    <w:p w:rsidR="00043977" w:rsidRDefault="00043977" w:rsidP="0089666F">
      <w:pPr>
        <w:pStyle w:val="ListParagraph"/>
        <w:spacing w:after="0" w:line="240" w:lineRule="auto"/>
        <w:ind w:left="0"/>
        <w:jc w:val="center"/>
        <w:rPr>
          <w:rFonts w:ascii="Garamond" w:hAnsi="Garamond"/>
          <w:b/>
          <w:sz w:val="28"/>
          <w:szCs w:val="28"/>
        </w:rPr>
      </w:pPr>
    </w:p>
    <w:p w:rsidR="00043977" w:rsidRDefault="00043977" w:rsidP="0089666F">
      <w:pPr>
        <w:pStyle w:val="ListParagraph"/>
        <w:spacing w:after="0" w:line="240" w:lineRule="auto"/>
        <w:ind w:left="0"/>
        <w:jc w:val="center"/>
        <w:rPr>
          <w:rFonts w:ascii="Garamond" w:hAnsi="Garamond"/>
          <w:b/>
          <w:sz w:val="28"/>
          <w:szCs w:val="28"/>
        </w:rPr>
      </w:pPr>
    </w:p>
    <w:p w:rsidR="00043977" w:rsidRDefault="00043977" w:rsidP="0089666F">
      <w:pPr>
        <w:pStyle w:val="ListParagraph"/>
        <w:spacing w:after="0" w:line="240" w:lineRule="auto"/>
        <w:ind w:left="0"/>
        <w:jc w:val="center"/>
        <w:rPr>
          <w:rFonts w:ascii="Garamond" w:hAnsi="Garamond"/>
          <w:b/>
          <w:sz w:val="28"/>
          <w:szCs w:val="28"/>
        </w:rPr>
      </w:pPr>
    </w:p>
    <w:p w:rsidR="0089666F" w:rsidRPr="00A02943" w:rsidRDefault="00043977" w:rsidP="0089666F">
      <w:pPr>
        <w:pStyle w:val="ListParagraph"/>
        <w:spacing w:after="0" w:line="240" w:lineRule="auto"/>
        <w:ind w:left="0"/>
        <w:jc w:val="center"/>
        <w:rPr>
          <w:rFonts w:ascii="Garamond" w:hAnsi="Garamond"/>
          <w:b/>
          <w:sz w:val="28"/>
          <w:szCs w:val="28"/>
        </w:rPr>
      </w:pPr>
      <w:r>
        <w:rPr>
          <w:rFonts w:ascii="Garamond" w:hAnsi="Garamond"/>
          <w:b/>
          <w:sz w:val="28"/>
          <w:szCs w:val="28"/>
        </w:rPr>
        <w:t xml:space="preserve">STRATEGIC PLAN - </w:t>
      </w:r>
      <w:r w:rsidR="0089666F" w:rsidRPr="00A02943">
        <w:rPr>
          <w:rFonts w:ascii="Garamond" w:hAnsi="Garamond"/>
          <w:b/>
          <w:sz w:val="28"/>
          <w:szCs w:val="28"/>
        </w:rPr>
        <w:t>EXECUTIVE SUMMARY</w:t>
      </w:r>
    </w:p>
    <w:p w:rsidR="00A02943" w:rsidRPr="00B34BC2" w:rsidRDefault="00A02943" w:rsidP="0089666F">
      <w:pPr>
        <w:pStyle w:val="ListParagraph"/>
        <w:spacing w:after="0" w:line="240" w:lineRule="auto"/>
        <w:ind w:left="0"/>
        <w:jc w:val="center"/>
        <w:rPr>
          <w:rFonts w:ascii="Garamond" w:hAnsi="Garamond"/>
          <w:b/>
        </w:rPr>
      </w:pPr>
    </w:p>
    <w:p w:rsidR="0089666F" w:rsidRPr="00B34BC2" w:rsidRDefault="00F2112E" w:rsidP="00F2112E">
      <w:pPr>
        <w:pStyle w:val="ListParagraph"/>
        <w:spacing w:after="0" w:line="240" w:lineRule="auto"/>
        <w:ind w:left="0"/>
        <w:rPr>
          <w:rFonts w:ascii="Garamond" w:hAnsi="Garamond"/>
        </w:rPr>
      </w:pPr>
      <w:r w:rsidRPr="00B34BC2">
        <w:rPr>
          <w:rFonts w:ascii="Garamond" w:hAnsi="Garamond"/>
        </w:rPr>
        <w:t>PLACES is a program of the Funders’ Network for Smart Growth and Livable Communities. The mission of the Funders’ Network is to inspire, strengthen and expand funding and philanthropic leadership that yield environmentally sustainable, socially equitable and economically prosperous regions and communities.</w:t>
      </w:r>
    </w:p>
    <w:p w:rsidR="00F2112E" w:rsidRPr="00B34BC2" w:rsidRDefault="00F2112E" w:rsidP="00F2112E">
      <w:pPr>
        <w:pStyle w:val="ListParagraph"/>
        <w:spacing w:after="0" w:line="240" w:lineRule="auto"/>
        <w:ind w:left="0"/>
        <w:rPr>
          <w:rFonts w:ascii="Garamond" w:hAnsi="Garamond"/>
        </w:rPr>
      </w:pPr>
    </w:p>
    <w:p w:rsidR="00D45C08" w:rsidRPr="00D45C08" w:rsidRDefault="00D45C08" w:rsidP="00D45C08">
      <w:pPr>
        <w:pStyle w:val="ListParagraph"/>
        <w:ind w:left="0"/>
        <w:rPr>
          <w:rFonts w:ascii="Garamond" w:hAnsi="Garamond"/>
          <w:b/>
        </w:rPr>
      </w:pPr>
      <w:r w:rsidRPr="00D45C08">
        <w:rPr>
          <w:rFonts w:ascii="Garamond" w:hAnsi="Garamond"/>
          <w:b/>
        </w:rPr>
        <w:t>PLACES VISION</w:t>
      </w:r>
    </w:p>
    <w:p w:rsidR="00F2112E" w:rsidRDefault="00D45C08" w:rsidP="00D45C08">
      <w:pPr>
        <w:pStyle w:val="ListParagraph"/>
        <w:spacing w:after="0" w:line="240" w:lineRule="auto"/>
        <w:ind w:left="0"/>
        <w:rPr>
          <w:rFonts w:ascii="Garamond" w:hAnsi="Garamond"/>
        </w:rPr>
      </w:pPr>
      <w:r w:rsidRPr="00B34BC2">
        <w:rPr>
          <w:rFonts w:ascii="Garamond" w:hAnsi="Garamond"/>
        </w:rPr>
        <w:t>Our vision is that the Funders’ Network will be the leading resource in philanthropy for interdisciplinary and transformative thinking and action that gives all people the opportunity to live in more environmentally sustainable, socially equitable and economically prosperous regions and communities.</w:t>
      </w:r>
    </w:p>
    <w:p w:rsidR="00D45C08" w:rsidRDefault="00D45C08" w:rsidP="00D45C08">
      <w:pPr>
        <w:pStyle w:val="ListParagraph"/>
        <w:spacing w:after="0" w:line="240" w:lineRule="auto"/>
        <w:ind w:left="0"/>
        <w:rPr>
          <w:rFonts w:ascii="Garamond" w:hAnsi="Garamond"/>
          <w:sz w:val="20"/>
          <w:szCs w:val="20"/>
        </w:rPr>
      </w:pPr>
    </w:p>
    <w:p w:rsidR="00D45C08" w:rsidRDefault="00D45C08" w:rsidP="00D45C08">
      <w:pPr>
        <w:pStyle w:val="ListParagraph"/>
        <w:spacing w:after="0" w:line="240" w:lineRule="auto"/>
        <w:ind w:left="0"/>
        <w:rPr>
          <w:rFonts w:ascii="Garamond" w:hAnsi="Garamond"/>
          <w:sz w:val="20"/>
          <w:szCs w:val="20"/>
        </w:rPr>
      </w:pPr>
    </w:p>
    <w:p w:rsidR="00D45C08" w:rsidRPr="00924BDB" w:rsidRDefault="00D45C08" w:rsidP="00D45C08">
      <w:pPr>
        <w:pStyle w:val="ListParagraph"/>
        <w:spacing w:after="0" w:line="240" w:lineRule="auto"/>
        <w:ind w:left="0"/>
        <w:rPr>
          <w:rFonts w:ascii="Garamond" w:hAnsi="Garamond"/>
          <w:sz w:val="20"/>
          <w:szCs w:val="20"/>
        </w:rPr>
      </w:pPr>
    </w:p>
    <w:p w:rsidR="0089666F" w:rsidRPr="00BF240C" w:rsidRDefault="00B25ABB" w:rsidP="003C620D">
      <w:pPr>
        <w:pStyle w:val="ListParagraph"/>
        <w:spacing w:after="0" w:line="240" w:lineRule="auto"/>
        <w:ind w:left="0"/>
        <w:jc w:val="center"/>
        <w:rPr>
          <w:rFonts w:ascii="Garamond" w:hAnsi="Garamond"/>
          <w:b/>
          <w:sz w:val="24"/>
          <w:szCs w:val="24"/>
        </w:rPr>
      </w:pPr>
      <w:r>
        <w:rPr>
          <w:rFonts w:ascii="Garamond" w:hAnsi="Garamond"/>
          <w:b/>
          <w:sz w:val="24"/>
          <w:szCs w:val="24"/>
        </w:rPr>
        <w:t>PLACES</w:t>
      </w:r>
      <w:r w:rsidR="00F2112E" w:rsidRPr="00BF240C">
        <w:rPr>
          <w:rFonts w:ascii="Garamond" w:hAnsi="Garamond"/>
          <w:b/>
          <w:sz w:val="24"/>
          <w:szCs w:val="24"/>
        </w:rPr>
        <w:t xml:space="preserve"> EDUCATIONAL OBJECTIVES</w:t>
      </w:r>
    </w:p>
    <w:p w:rsidR="00F2112E" w:rsidRPr="00924BDB" w:rsidRDefault="00F2112E" w:rsidP="00905D6D">
      <w:pPr>
        <w:pStyle w:val="ListParagraph"/>
        <w:spacing w:after="0" w:line="240" w:lineRule="auto"/>
        <w:ind w:left="0"/>
        <w:rPr>
          <w:rFonts w:ascii="Garamond" w:hAnsi="Garamond"/>
          <w:sz w:val="20"/>
          <w:szCs w:val="20"/>
        </w:rPr>
      </w:pPr>
    </w:p>
    <w:p w:rsidR="00F2112E" w:rsidRPr="00924BDB" w:rsidRDefault="00F2112E" w:rsidP="00905D6D">
      <w:pPr>
        <w:pStyle w:val="ListParagraph"/>
        <w:spacing w:after="0" w:line="240" w:lineRule="auto"/>
        <w:ind w:left="0"/>
        <w:rPr>
          <w:rFonts w:ascii="Garamond" w:hAnsi="Garamond"/>
          <w:sz w:val="20"/>
          <w:szCs w:val="20"/>
        </w:rPr>
      </w:pPr>
      <w:r w:rsidRPr="00924BDB">
        <w:rPr>
          <w:rFonts w:ascii="Garamond" w:hAnsi="Garamond"/>
          <w:noProof/>
          <w:sz w:val="20"/>
          <w:szCs w:val="20"/>
        </w:rPr>
        <w:drawing>
          <wp:inline distT="0" distB="0" distL="0" distR="0">
            <wp:extent cx="5943600" cy="2730500"/>
            <wp:effectExtent l="0" t="38100" r="0" b="6985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2112E" w:rsidRPr="00924BDB" w:rsidRDefault="00F2112E" w:rsidP="00905D6D">
      <w:pPr>
        <w:pStyle w:val="ListParagraph"/>
        <w:spacing w:after="0" w:line="240" w:lineRule="auto"/>
        <w:ind w:left="0"/>
        <w:rPr>
          <w:rFonts w:ascii="Garamond" w:hAnsi="Garamond"/>
          <w:sz w:val="20"/>
          <w:szCs w:val="20"/>
        </w:rPr>
      </w:pPr>
    </w:p>
    <w:p w:rsidR="0089666F" w:rsidRPr="00924BDB" w:rsidRDefault="00B25ABB">
      <w:pPr>
        <w:rPr>
          <w:rFonts w:ascii="Garamond" w:hAnsi="Garamond"/>
          <w:b/>
          <w:sz w:val="20"/>
          <w:szCs w:val="20"/>
          <w:u w:val="single"/>
        </w:rPr>
      </w:pPr>
      <w:r>
        <w:rPr>
          <w:rFonts w:ascii="Garamond" w:hAnsi="Garamond"/>
          <w:b/>
          <w:sz w:val="20"/>
          <w:szCs w:val="20"/>
          <w:u w:val="single"/>
        </w:rPr>
        <w:t>PLACES</w:t>
      </w:r>
      <w:r w:rsidR="00D406C0" w:rsidRPr="00924BDB">
        <w:rPr>
          <w:rFonts w:ascii="Garamond" w:hAnsi="Garamond"/>
          <w:b/>
          <w:sz w:val="20"/>
          <w:szCs w:val="20"/>
          <w:u w:val="single"/>
        </w:rPr>
        <w:t xml:space="preserve"> </w:t>
      </w:r>
      <w:r w:rsidR="00CE35B8">
        <w:rPr>
          <w:rFonts w:ascii="Garamond" w:hAnsi="Garamond"/>
          <w:b/>
          <w:sz w:val="20"/>
          <w:szCs w:val="20"/>
          <w:u w:val="single"/>
        </w:rPr>
        <w:t>STRATEGIC GOALS</w:t>
      </w:r>
    </w:p>
    <w:tbl>
      <w:tblPr>
        <w:tblStyle w:val="TableGrid"/>
        <w:tblW w:w="0" w:type="auto"/>
        <w:tblLook w:val="04A0" w:firstRow="1" w:lastRow="0" w:firstColumn="1" w:lastColumn="0" w:noHBand="0" w:noVBand="1"/>
      </w:tblPr>
      <w:tblGrid>
        <w:gridCol w:w="1870"/>
        <w:gridCol w:w="1870"/>
        <w:gridCol w:w="1870"/>
        <w:gridCol w:w="1870"/>
        <w:gridCol w:w="1870"/>
      </w:tblGrid>
      <w:tr w:rsidR="008E7CC9" w:rsidRPr="00924BDB" w:rsidTr="00447717">
        <w:tc>
          <w:tcPr>
            <w:tcW w:w="1870" w:type="dxa"/>
            <w:shd w:val="clear" w:color="auto" w:fill="ED7D31" w:themeFill="accent2"/>
          </w:tcPr>
          <w:p w:rsidR="00447717" w:rsidRPr="003E210F" w:rsidRDefault="00266F7E" w:rsidP="002C3224">
            <w:pPr>
              <w:jc w:val="center"/>
              <w:rPr>
                <w:rFonts w:ascii="Garamond" w:hAnsi="Garamond"/>
                <w:b/>
                <w:color w:val="FFFFFF" w:themeColor="background1"/>
                <w:sz w:val="20"/>
                <w:szCs w:val="20"/>
              </w:rPr>
            </w:pPr>
            <w:r w:rsidRPr="003E210F">
              <w:rPr>
                <w:rFonts w:ascii="Garamond" w:hAnsi="Garamond"/>
                <w:b/>
                <w:color w:val="FFFFFF" w:themeColor="background1"/>
                <w:sz w:val="20"/>
                <w:szCs w:val="20"/>
              </w:rPr>
              <w:t xml:space="preserve">Strengthen Leaders &amp; </w:t>
            </w:r>
            <w:r w:rsidR="002C3224" w:rsidRPr="003E210F">
              <w:rPr>
                <w:rFonts w:ascii="Garamond" w:hAnsi="Garamond"/>
                <w:b/>
                <w:color w:val="FFFFFF" w:themeColor="background1"/>
                <w:sz w:val="20"/>
                <w:szCs w:val="20"/>
              </w:rPr>
              <w:t>Personal Development</w:t>
            </w:r>
          </w:p>
        </w:tc>
        <w:tc>
          <w:tcPr>
            <w:tcW w:w="1870" w:type="dxa"/>
            <w:shd w:val="clear" w:color="auto" w:fill="A5A5A5" w:themeFill="accent3"/>
          </w:tcPr>
          <w:p w:rsidR="00447717" w:rsidRPr="003E210F" w:rsidRDefault="00447717" w:rsidP="00447717">
            <w:pPr>
              <w:jc w:val="center"/>
              <w:rPr>
                <w:rFonts w:ascii="Garamond" w:hAnsi="Garamond"/>
                <w:b/>
                <w:color w:val="FFFFFF" w:themeColor="background1"/>
                <w:sz w:val="20"/>
                <w:szCs w:val="20"/>
              </w:rPr>
            </w:pPr>
            <w:r w:rsidRPr="003E210F">
              <w:rPr>
                <w:rFonts w:ascii="Garamond" w:hAnsi="Garamond"/>
                <w:b/>
                <w:color w:val="FFFFFF" w:themeColor="background1"/>
                <w:sz w:val="20"/>
                <w:szCs w:val="20"/>
              </w:rPr>
              <w:t>Increase Program Capacity</w:t>
            </w:r>
          </w:p>
        </w:tc>
        <w:tc>
          <w:tcPr>
            <w:tcW w:w="1870" w:type="dxa"/>
            <w:shd w:val="clear" w:color="auto" w:fill="FFC000" w:themeFill="accent4"/>
          </w:tcPr>
          <w:p w:rsidR="00447717" w:rsidRPr="003E210F" w:rsidRDefault="00447717" w:rsidP="00447717">
            <w:pPr>
              <w:jc w:val="center"/>
              <w:rPr>
                <w:rFonts w:ascii="Garamond" w:hAnsi="Garamond"/>
                <w:b/>
                <w:color w:val="FFFFFF" w:themeColor="background1"/>
                <w:sz w:val="20"/>
                <w:szCs w:val="20"/>
              </w:rPr>
            </w:pPr>
            <w:r w:rsidRPr="003E210F">
              <w:rPr>
                <w:rFonts w:ascii="Garamond" w:hAnsi="Garamond"/>
                <w:b/>
                <w:color w:val="FFFFFF" w:themeColor="background1"/>
                <w:sz w:val="20"/>
                <w:szCs w:val="20"/>
              </w:rPr>
              <w:t>Share Impact &amp; Influence Change</w:t>
            </w:r>
          </w:p>
        </w:tc>
        <w:tc>
          <w:tcPr>
            <w:tcW w:w="1870" w:type="dxa"/>
            <w:shd w:val="clear" w:color="auto" w:fill="4472C4" w:themeFill="accent5"/>
          </w:tcPr>
          <w:p w:rsidR="00447717" w:rsidRPr="003E210F" w:rsidRDefault="002C3224" w:rsidP="00447717">
            <w:pPr>
              <w:jc w:val="center"/>
              <w:rPr>
                <w:rFonts w:ascii="Garamond" w:hAnsi="Garamond"/>
                <w:b/>
                <w:color w:val="FFFFFF" w:themeColor="background1"/>
                <w:sz w:val="20"/>
                <w:szCs w:val="20"/>
              </w:rPr>
            </w:pPr>
            <w:r w:rsidRPr="003E210F">
              <w:rPr>
                <w:rFonts w:ascii="Garamond" w:hAnsi="Garamond"/>
                <w:b/>
                <w:color w:val="FFFFFF" w:themeColor="background1"/>
                <w:sz w:val="20"/>
                <w:szCs w:val="20"/>
              </w:rPr>
              <w:t>Alumni Engagement &amp; Collaboration</w:t>
            </w:r>
          </w:p>
        </w:tc>
        <w:tc>
          <w:tcPr>
            <w:tcW w:w="1870" w:type="dxa"/>
            <w:shd w:val="clear" w:color="auto" w:fill="70AD47" w:themeFill="accent6"/>
          </w:tcPr>
          <w:p w:rsidR="00447717" w:rsidRPr="003E210F" w:rsidRDefault="00447717" w:rsidP="00447717">
            <w:pPr>
              <w:jc w:val="center"/>
              <w:rPr>
                <w:rFonts w:ascii="Garamond" w:hAnsi="Garamond"/>
                <w:b/>
                <w:color w:val="FFFFFF" w:themeColor="background1"/>
                <w:sz w:val="20"/>
                <w:szCs w:val="20"/>
              </w:rPr>
            </w:pPr>
            <w:r w:rsidRPr="003E210F">
              <w:rPr>
                <w:rFonts w:ascii="Garamond" w:hAnsi="Garamond"/>
                <w:b/>
                <w:color w:val="FFFFFF" w:themeColor="background1"/>
                <w:sz w:val="20"/>
                <w:szCs w:val="20"/>
              </w:rPr>
              <w:t>Integration</w:t>
            </w:r>
            <w:r w:rsidR="0005509C" w:rsidRPr="003E210F">
              <w:rPr>
                <w:rFonts w:ascii="Garamond" w:hAnsi="Garamond"/>
                <w:b/>
                <w:color w:val="FFFFFF" w:themeColor="background1"/>
                <w:sz w:val="20"/>
                <w:szCs w:val="20"/>
              </w:rPr>
              <w:t xml:space="preserve">, </w:t>
            </w:r>
            <w:r w:rsidRPr="003E210F">
              <w:rPr>
                <w:rFonts w:ascii="Garamond" w:hAnsi="Garamond"/>
                <w:b/>
                <w:color w:val="FFFFFF" w:themeColor="background1"/>
                <w:sz w:val="20"/>
                <w:szCs w:val="20"/>
              </w:rPr>
              <w:t>Network Building</w:t>
            </w:r>
            <w:r w:rsidR="0005509C" w:rsidRPr="003E210F">
              <w:rPr>
                <w:rFonts w:ascii="Garamond" w:hAnsi="Garamond"/>
                <w:b/>
                <w:color w:val="FFFFFF" w:themeColor="background1"/>
                <w:sz w:val="20"/>
                <w:szCs w:val="20"/>
              </w:rPr>
              <w:t xml:space="preserve"> &amp; Collaboration</w:t>
            </w:r>
          </w:p>
        </w:tc>
      </w:tr>
      <w:tr w:rsidR="008E7CC9" w:rsidRPr="00924BDB" w:rsidTr="00447717">
        <w:tc>
          <w:tcPr>
            <w:tcW w:w="1870" w:type="dxa"/>
            <w:shd w:val="clear" w:color="auto" w:fill="ED7D31" w:themeFill="accent2"/>
          </w:tcPr>
          <w:p w:rsidR="00447717" w:rsidRPr="00924BDB" w:rsidRDefault="008E7CC9" w:rsidP="006A2916">
            <w:pPr>
              <w:pStyle w:val="ListParagraph"/>
              <w:numPr>
                <w:ilvl w:val="0"/>
                <w:numId w:val="36"/>
              </w:numPr>
              <w:rPr>
                <w:rFonts w:ascii="Garamond" w:hAnsi="Garamond"/>
                <w:sz w:val="20"/>
                <w:szCs w:val="20"/>
              </w:rPr>
            </w:pPr>
            <w:r w:rsidRPr="00924BDB">
              <w:rPr>
                <w:rFonts w:ascii="Garamond" w:hAnsi="Garamond"/>
                <w:sz w:val="20"/>
                <w:szCs w:val="20"/>
              </w:rPr>
              <w:t xml:space="preserve">Build a </w:t>
            </w:r>
            <w:r w:rsidR="006A2916">
              <w:rPr>
                <w:rFonts w:ascii="Garamond" w:hAnsi="Garamond"/>
                <w:sz w:val="20"/>
                <w:szCs w:val="20"/>
              </w:rPr>
              <w:t xml:space="preserve">learning </w:t>
            </w:r>
            <w:r w:rsidRPr="00924BDB">
              <w:rPr>
                <w:rFonts w:ascii="Garamond" w:hAnsi="Garamond"/>
                <w:sz w:val="20"/>
                <w:szCs w:val="20"/>
              </w:rPr>
              <w:t xml:space="preserve">community to increase the skills and knowledge around </w:t>
            </w:r>
            <w:r w:rsidR="006A2916">
              <w:rPr>
                <w:rFonts w:ascii="Garamond" w:hAnsi="Garamond"/>
                <w:sz w:val="20"/>
                <w:szCs w:val="20"/>
              </w:rPr>
              <w:t>people and</w:t>
            </w:r>
            <w:r w:rsidR="002C3224" w:rsidRPr="00924BDB">
              <w:rPr>
                <w:rFonts w:ascii="Garamond" w:hAnsi="Garamond"/>
                <w:sz w:val="20"/>
                <w:szCs w:val="20"/>
              </w:rPr>
              <w:t xml:space="preserve"> </w:t>
            </w:r>
            <w:r w:rsidRPr="00924BDB">
              <w:rPr>
                <w:rFonts w:ascii="Garamond" w:hAnsi="Garamond"/>
                <w:sz w:val="20"/>
                <w:szCs w:val="20"/>
              </w:rPr>
              <w:t>place, smart growth and equity in the field of philanthropy.</w:t>
            </w:r>
          </w:p>
        </w:tc>
        <w:tc>
          <w:tcPr>
            <w:tcW w:w="1870" w:type="dxa"/>
            <w:shd w:val="clear" w:color="auto" w:fill="A5A5A5" w:themeFill="accent3"/>
          </w:tcPr>
          <w:p w:rsidR="00447717" w:rsidRPr="00924BDB" w:rsidRDefault="008E7CC9" w:rsidP="00C22D6A">
            <w:pPr>
              <w:pStyle w:val="ListParagraph"/>
              <w:numPr>
                <w:ilvl w:val="0"/>
                <w:numId w:val="36"/>
              </w:numPr>
              <w:rPr>
                <w:rFonts w:ascii="Garamond" w:hAnsi="Garamond"/>
                <w:sz w:val="20"/>
                <w:szCs w:val="20"/>
              </w:rPr>
            </w:pPr>
            <w:r w:rsidRPr="00924BDB">
              <w:rPr>
                <w:rFonts w:ascii="Garamond" w:hAnsi="Garamond"/>
                <w:sz w:val="20"/>
                <w:szCs w:val="20"/>
              </w:rPr>
              <w:t>Grow the core operating support of PLACES and le</w:t>
            </w:r>
            <w:r w:rsidR="00C22D6A">
              <w:rPr>
                <w:rFonts w:ascii="Garamond" w:hAnsi="Garamond"/>
                <w:sz w:val="20"/>
                <w:szCs w:val="20"/>
              </w:rPr>
              <w:t xml:space="preserve">verage our investment in alumni </w:t>
            </w:r>
            <w:r w:rsidR="00C22D6A" w:rsidRPr="00C22D6A">
              <w:rPr>
                <w:rFonts w:ascii="Garamond" w:hAnsi="Garamond"/>
                <w:sz w:val="20"/>
                <w:szCs w:val="20"/>
              </w:rPr>
              <w:t>to increase learning opportunities, build partnerships and support alumni engagement efforts.</w:t>
            </w:r>
          </w:p>
        </w:tc>
        <w:tc>
          <w:tcPr>
            <w:tcW w:w="1870" w:type="dxa"/>
            <w:shd w:val="clear" w:color="auto" w:fill="FFC000" w:themeFill="accent4"/>
          </w:tcPr>
          <w:p w:rsidR="00447717" w:rsidRPr="00924BDB" w:rsidRDefault="008E7CC9" w:rsidP="008E7CC9">
            <w:pPr>
              <w:pStyle w:val="ListParagraph"/>
              <w:numPr>
                <w:ilvl w:val="0"/>
                <w:numId w:val="36"/>
              </w:numPr>
              <w:rPr>
                <w:rFonts w:ascii="Garamond" w:hAnsi="Garamond"/>
                <w:sz w:val="20"/>
                <w:szCs w:val="20"/>
              </w:rPr>
            </w:pPr>
            <w:r w:rsidRPr="00924BDB">
              <w:rPr>
                <w:rFonts w:ascii="Garamond" w:hAnsi="Garamond"/>
                <w:sz w:val="20"/>
                <w:szCs w:val="20"/>
              </w:rPr>
              <w:t>Build the PLACES narrative to show impact and tell the story.</w:t>
            </w:r>
          </w:p>
        </w:tc>
        <w:tc>
          <w:tcPr>
            <w:tcW w:w="1870" w:type="dxa"/>
            <w:shd w:val="clear" w:color="auto" w:fill="4472C4" w:themeFill="accent5"/>
          </w:tcPr>
          <w:p w:rsidR="00447717" w:rsidRPr="00924BDB" w:rsidRDefault="008E7CC9" w:rsidP="008E7CC9">
            <w:pPr>
              <w:pStyle w:val="ListParagraph"/>
              <w:numPr>
                <w:ilvl w:val="0"/>
                <w:numId w:val="36"/>
              </w:numPr>
              <w:rPr>
                <w:rFonts w:ascii="Garamond" w:hAnsi="Garamond"/>
                <w:sz w:val="20"/>
                <w:szCs w:val="20"/>
              </w:rPr>
            </w:pPr>
            <w:r w:rsidRPr="00924BDB">
              <w:rPr>
                <w:rFonts w:ascii="Garamond" w:hAnsi="Garamond"/>
                <w:sz w:val="20"/>
                <w:szCs w:val="20"/>
              </w:rPr>
              <w:t>Cultivate the broader alumni network to influence philanthropic practices, promote collaboration across programs and foster more equitable outcomes.</w:t>
            </w:r>
          </w:p>
        </w:tc>
        <w:tc>
          <w:tcPr>
            <w:tcW w:w="1870" w:type="dxa"/>
            <w:shd w:val="clear" w:color="auto" w:fill="70AD47" w:themeFill="accent6"/>
          </w:tcPr>
          <w:p w:rsidR="00B35445" w:rsidRPr="00B35445" w:rsidRDefault="00B35445" w:rsidP="00B35445">
            <w:pPr>
              <w:pStyle w:val="ListParagraph"/>
              <w:numPr>
                <w:ilvl w:val="0"/>
                <w:numId w:val="36"/>
              </w:numPr>
              <w:rPr>
                <w:rFonts w:ascii="Garamond" w:hAnsi="Garamond"/>
                <w:sz w:val="20"/>
                <w:szCs w:val="20"/>
              </w:rPr>
            </w:pPr>
            <w:r w:rsidRPr="00B35445">
              <w:rPr>
                <w:rFonts w:ascii="Garamond" w:hAnsi="Garamond"/>
                <w:sz w:val="20"/>
                <w:szCs w:val="20"/>
              </w:rPr>
              <w:t>Increase Shared Learning and Support Integration within TFN and Other Philanthropy Serving Organizations</w:t>
            </w:r>
          </w:p>
          <w:p w:rsidR="00447717" w:rsidRPr="00924BDB" w:rsidRDefault="00447717" w:rsidP="00B35445">
            <w:pPr>
              <w:pStyle w:val="ListParagraph"/>
              <w:ind w:left="360"/>
              <w:rPr>
                <w:rFonts w:ascii="Garamond" w:hAnsi="Garamond"/>
                <w:sz w:val="20"/>
                <w:szCs w:val="20"/>
              </w:rPr>
            </w:pPr>
          </w:p>
        </w:tc>
      </w:tr>
    </w:tbl>
    <w:p w:rsidR="00A733EC" w:rsidRPr="00A733EC" w:rsidRDefault="00A733EC" w:rsidP="00A733EC">
      <w:pPr>
        <w:jc w:val="center"/>
        <w:rPr>
          <w:rFonts w:ascii="Garamond" w:hAnsi="Garamond"/>
          <w:b/>
          <w:sz w:val="28"/>
          <w:szCs w:val="28"/>
        </w:rPr>
      </w:pPr>
    </w:p>
    <w:p w:rsidR="00A733EC" w:rsidRDefault="00A733EC" w:rsidP="00A733EC">
      <w:pPr>
        <w:rPr>
          <w:rFonts w:ascii="Garamond" w:hAnsi="Garamond"/>
          <w:b/>
          <w:sz w:val="28"/>
          <w:szCs w:val="28"/>
          <w:u w:val="single"/>
        </w:rPr>
      </w:pPr>
      <w:r>
        <w:rPr>
          <w:rFonts w:ascii="Garamond" w:hAnsi="Garamond"/>
          <w:b/>
          <w:sz w:val="28"/>
          <w:szCs w:val="28"/>
          <w:u w:val="single"/>
        </w:rPr>
        <w:lastRenderedPageBreak/>
        <w:t xml:space="preserve">Five-Year Strategic </w:t>
      </w:r>
      <w:r w:rsidR="00E60F0F">
        <w:rPr>
          <w:rFonts w:ascii="Garamond" w:hAnsi="Garamond"/>
          <w:b/>
          <w:sz w:val="28"/>
          <w:szCs w:val="28"/>
          <w:u w:val="single"/>
        </w:rPr>
        <w:t>Goals</w:t>
      </w:r>
      <w:r>
        <w:rPr>
          <w:rFonts w:ascii="Garamond" w:hAnsi="Garamond"/>
          <w:b/>
          <w:sz w:val="28"/>
          <w:szCs w:val="28"/>
          <w:u w:val="single"/>
        </w:rPr>
        <w:t xml:space="preserve"> </w:t>
      </w:r>
      <w:r w:rsidR="00D45C08">
        <w:rPr>
          <w:rFonts w:ascii="Garamond" w:hAnsi="Garamond"/>
          <w:b/>
          <w:sz w:val="28"/>
          <w:szCs w:val="28"/>
          <w:u w:val="single"/>
        </w:rPr>
        <w:t>–</w:t>
      </w:r>
      <w:r>
        <w:rPr>
          <w:rFonts w:ascii="Garamond" w:hAnsi="Garamond"/>
          <w:b/>
          <w:sz w:val="28"/>
          <w:szCs w:val="28"/>
          <w:u w:val="single"/>
        </w:rPr>
        <w:t xml:space="preserve"> Overview</w:t>
      </w:r>
    </w:p>
    <w:p w:rsidR="00D45C08" w:rsidRPr="00C17F9B" w:rsidRDefault="00D45C08" w:rsidP="00A733EC">
      <w:pPr>
        <w:rPr>
          <w:rFonts w:ascii="Garamond" w:hAnsi="Garamond"/>
          <w:b/>
          <w:sz w:val="28"/>
          <w:szCs w:val="28"/>
          <w:u w:val="single"/>
        </w:rPr>
      </w:pPr>
    </w:p>
    <w:p w:rsidR="00A733EC" w:rsidRPr="00B4185C" w:rsidRDefault="00A733EC" w:rsidP="00A733EC">
      <w:pPr>
        <w:pStyle w:val="ListParagraph"/>
        <w:numPr>
          <w:ilvl w:val="0"/>
          <w:numId w:val="9"/>
        </w:numPr>
        <w:rPr>
          <w:rFonts w:ascii="Garamond" w:hAnsi="Garamond"/>
          <w:b/>
          <w:sz w:val="24"/>
          <w:szCs w:val="24"/>
        </w:rPr>
      </w:pPr>
      <w:r w:rsidRPr="007C2461">
        <w:rPr>
          <w:rFonts w:ascii="Garamond" w:hAnsi="Garamond"/>
          <w:b/>
          <w:sz w:val="24"/>
          <w:szCs w:val="24"/>
        </w:rPr>
        <w:t xml:space="preserve">Build a </w:t>
      </w:r>
      <w:r>
        <w:rPr>
          <w:rFonts w:ascii="Garamond" w:hAnsi="Garamond"/>
          <w:b/>
          <w:sz w:val="24"/>
          <w:szCs w:val="24"/>
        </w:rPr>
        <w:t xml:space="preserve">learning </w:t>
      </w:r>
      <w:r w:rsidRPr="007C2461">
        <w:rPr>
          <w:rFonts w:ascii="Garamond" w:hAnsi="Garamond"/>
          <w:b/>
          <w:sz w:val="24"/>
          <w:szCs w:val="24"/>
        </w:rPr>
        <w:t xml:space="preserve">community to increase the skills and knowledge around </w:t>
      </w:r>
      <w:r>
        <w:rPr>
          <w:rFonts w:ascii="Garamond" w:hAnsi="Garamond"/>
          <w:b/>
          <w:sz w:val="24"/>
          <w:szCs w:val="24"/>
        </w:rPr>
        <w:t xml:space="preserve">people and </w:t>
      </w:r>
      <w:r w:rsidRPr="007C2461">
        <w:rPr>
          <w:rFonts w:ascii="Garamond" w:hAnsi="Garamond"/>
          <w:b/>
          <w:sz w:val="24"/>
          <w:szCs w:val="24"/>
        </w:rPr>
        <w:t>place, smart growth, and equity in the field of philanthropy</w:t>
      </w:r>
      <w:r w:rsidRPr="00B4185C">
        <w:rPr>
          <w:rFonts w:ascii="Garamond" w:hAnsi="Garamond"/>
          <w:b/>
          <w:sz w:val="24"/>
          <w:szCs w:val="24"/>
        </w:rPr>
        <w:t xml:space="preserve"> </w:t>
      </w:r>
    </w:p>
    <w:p w:rsidR="00A733EC" w:rsidRPr="00D771C7" w:rsidRDefault="00A733EC" w:rsidP="00A733EC">
      <w:pPr>
        <w:pStyle w:val="ListParagraph"/>
        <w:numPr>
          <w:ilvl w:val="1"/>
          <w:numId w:val="9"/>
        </w:numPr>
        <w:rPr>
          <w:rFonts w:ascii="Garamond" w:hAnsi="Garamond"/>
          <w:sz w:val="24"/>
          <w:szCs w:val="24"/>
        </w:rPr>
      </w:pPr>
      <w:r w:rsidRPr="00D771C7">
        <w:rPr>
          <w:rFonts w:ascii="Garamond" w:hAnsi="Garamond"/>
          <w:sz w:val="24"/>
          <w:szCs w:val="24"/>
        </w:rPr>
        <w:t xml:space="preserve">Since 2009, TFN has graduated 111 PLACES fellows. </w:t>
      </w:r>
      <w:r>
        <w:rPr>
          <w:rFonts w:ascii="Garamond" w:hAnsi="Garamond"/>
          <w:sz w:val="24"/>
          <w:szCs w:val="24"/>
        </w:rPr>
        <w:t>We ex</w:t>
      </w:r>
      <w:r w:rsidR="00247859">
        <w:rPr>
          <w:rFonts w:ascii="Garamond" w:hAnsi="Garamond"/>
          <w:sz w:val="24"/>
          <w:szCs w:val="24"/>
        </w:rPr>
        <w:t>pect to graduate a minimum of 13</w:t>
      </w:r>
      <w:r>
        <w:rPr>
          <w:rFonts w:ascii="Garamond" w:hAnsi="Garamond"/>
          <w:sz w:val="24"/>
          <w:szCs w:val="24"/>
        </w:rPr>
        <w:t xml:space="preserve"> fellows per year over the next five years. </w:t>
      </w:r>
    </w:p>
    <w:p w:rsidR="00A733EC" w:rsidRPr="00B4185C" w:rsidRDefault="00A733EC" w:rsidP="00A733EC">
      <w:pPr>
        <w:pStyle w:val="ListParagraph"/>
        <w:numPr>
          <w:ilvl w:val="0"/>
          <w:numId w:val="9"/>
        </w:numPr>
        <w:rPr>
          <w:rFonts w:ascii="Garamond" w:hAnsi="Garamond"/>
          <w:b/>
          <w:sz w:val="24"/>
          <w:szCs w:val="24"/>
        </w:rPr>
      </w:pPr>
      <w:r>
        <w:rPr>
          <w:rFonts w:ascii="Garamond" w:hAnsi="Garamond"/>
          <w:b/>
          <w:sz w:val="24"/>
          <w:szCs w:val="24"/>
        </w:rPr>
        <w:t>Grow</w:t>
      </w:r>
      <w:r w:rsidRPr="00B4185C">
        <w:rPr>
          <w:rFonts w:ascii="Garamond" w:hAnsi="Garamond"/>
          <w:b/>
          <w:sz w:val="24"/>
          <w:szCs w:val="24"/>
        </w:rPr>
        <w:t xml:space="preserve"> the core operating support of PLACES</w:t>
      </w:r>
      <w:r w:rsidR="00247F89">
        <w:rPr>
          <w:rFonts w:ascii="Garamond" w:hAnsi="Garamond"/>
          <w:b/>
          <w:sz w:val="24"/>
          <w:szCs w:val="24"/>
        </w:rPr>
        <w:t xml:space="preserve"> to increase learning opportunities, build partnerships and support alumni engagement efforts.</w:t>
      </w:r>
    </w:p>
    <w:p w:rsidR="00A733EC" w:rsidRPr="00905D6D" w:rsidRDefault="00A733EC" w:rsidP="00A733EC">
      <w:pPr>
        <w:pStyle w:val="ListParagraph"/>
        <w:numPr>
          <w:ilvl w:val="1"/>
          <w:numId w:val="9"/>
        </w:numPr>
        <w:rPr>
          <w:rFonts w:ascii="Garamond" w:hAnsi="Garamond"/>
          <w:sz w:val="24"/>
          <w:szCs w:val="24"/>
        </w:rPr>
      </w:pPr>
      <w:r>
        <w:rPr>
          <w:rFonts w:ascii="Garamond" w:hAnsi="Garamond"/>
          <w:sz w:val="24"/>
          <w:szCs w:val="24"/>
        </w:rPr>
        <w:t xml:space="preserve">To run the PLACES Fellowship, TFN invests on average </w:t>
      </w:r>
      <w:r w:rsidRPr="004F4B3F">
        <w:rPr>
          <w:rFonts w:ascii="Garamond" w:hAnsi="Garamond"/>
          <w:sz w:val="24"/>
          <w:szCs w:val="24"/>
        </w:rPr>
        <w:t xml:space="preserve">$250k </w:t>
      </w:r>
      <w:r>
        <w:rPr>
          <w:rFonts w:ascii="Garamond" w:hAnsi="Garamond"/>
          <w:sz w:val="24"/>
          <w:szCs w:val="24"/>
        </w:rPr>
        <w:t xml:space="preserve">annually. Over the past ten years, a core set of longstanding partners have provided multi-year funding to support the program. We hope to grow the number of core investors and leverage our investment </w:t>
      </w:r>
      <w:r w:rsidR="00A02943">
        <w:rPr>
          <w:rFonts w:ascii="Garamond" w:hAnsi="Garamond"/>
          <w:sz w:val="24"/>
          <w:szCs w:val="24"/>
        </w:rPr>
        <w:t xml:space="preserve">in </w:t>
      </w:r>
      <w:r>
        <w:rPr>
          <w:rFonts w:ascii="Garamond" w:hAnsi="Garamond"/>
          <w:sz w:val="24"/>
          <w:szCs w:val="24"/>
        </w:rPr>
        <w:t>alumni.</w:t>
      </w:r>
    </w:p>
    <w:p w:rsidR="00A733EC" w:rsidRPr="00B4185C" w:rsidRDefault="00A733EC" w:rsidP="00A733EC">
      <w:pPr>
        <w:pStyle w:val="ListParagraph"/>
        <w:numPr>
          <w:ilvl w:val="0"/>
          <w:numId w:val="9"/>
        </w:numPr>
        <w:rPr>
          <w:rFonts w:ascii="Garamond" w:hAnsi="Garamond"/>
          <w:b/>
          <w:sz w:val="24"/>
          <w:szCs w:val="24"/>
        </w:rPr>
      </w:pPr>
      <w:r>
        <w:rPr>
          <w:rFonts w:ascii="Garamond" w:hAnsi="Garamond"/>
          <w:b/>
          <w:sz w:val="24"/>
          <w:szCs w:val="24"/>
        </w:rPr>
        <w:t xml:space="preserve">Build the PLACES narrative </w:t>
      </w:r>
      <w:r w:rsidRPr="00B4185C">
        <w:rPr>
          <w:rFonts w:ascii="Garamond" w:hAnsi="Garamond"/>
          <w:b/>
          <w:sz w:val="24"/>
          <w:szCs w:val="24"/>
        </w:rPr>
        <w:t>to show impact</w:t>
      </w:r>
      <w:r>
        <w:rPr>
          <w:rFonts w:ascii="Garamond" w:hAnsi="Garamond"/>
          <w:b/>
          <w:sz w:val="24"/>
          <w:szCs w:val="24"/>
        </w:rPr>
        <w:t xml:space="preserve"> and tell the story</w:t>
      </w:r>
    </w:p>
    <w:p w:rsidR="00A733EC" w:rsidRPr="00905D6D" w:rsidRDefault="00A733EC" w:rsidP="00A733EC">
      <w:pPr>
        <w:pStyle w:val="ListParagraph"/>
        <w:numPr>
          <w:ilvl w:val="1"/>
          <w:numId w:val="9"/>
        </w:numPr>
        <w:rPr>
          <w:rFonts w:ascii="Garamond" w:hAnsi="Garamond"/>
          <w:sz w:val="24"/>
          <w:szCs w:val="24"/>
        </w:rPr>
      </w:pPr>
      <w:r>
        <w:rPr>
          <w:rFonts w:ascii="Garamond" w:hAnsi="Garamond"/>
          <w:sz w:val="24"/>
          <w:szCs w:val="24"/>
        </w:rPr>
        <w:t xml:space="preserve">Over the life of the PLACES Fellowship, there have been many impact stories that have gone unheard. Capturing those stories of both individual, organizational and sector impact will help to catapult the program and potentially build long-term support. </w:t>
      </w:r>
    </w:p>
    <w:p w:rsidR="00A733EC" w:rsidRPr="00D13118" w:rsidRDefault="00A733EC" w:rsidP="00A733EC">
      <w:pPr>
        <w:pStyle w:val="ListParagraph"/>
        <w:numPr>
          <w:ilvl w:val="0"/>
          <w:numId w:val="9"/>
        </w:numPr>
        <w:rPr>
          <w:rFonts w:ascii="Garamond" w:hAnsi="Garamond"/>
          <w:b/>
          <w:sz w:val="24"/>
          <w:szCs w:val="24"/>
        </w:rPr>
      </w:pPr>
      <w:r>
        <w:rPr>
          <w:rFonts w:ascii="Garamond" w:hAnsi="Garamond"/>
          <w:b/>
          <w:sz w:val="24"/>
          <w:szCs w:val="24"/>
        </w:rPr>
        <w:t>Cultivate the broader alumni network to influence philanthropic practices, promote collaboration across programs and foster more equitable outcomes</w:t>
      </w:r>
      <w:r w:rsidRPr="00D13118">
        <w:rPr>
          <w:rFonts w:ascii="Garamond" w:hAnsi="Garamond"/>
          <w:b/>
          <w:sz w:val="24"/>
          <w:szCs w:val="24"/>
        </w:rPr>
        <w:t xml:space="preserve">. </w:t>
      </w:r>
    </w:p>
    <w:p w:rsidR="00A733EC" w:rsidRDefault="00A733EC" w:rsidP="00A733EC">
      <w:pPr>
        <w:pStyle w:val="ListParagraph"/>
        <w:numPr>
          <w:ilvl w:val="1"/>
          <w:numId w:val="9"/>
        </w:numPr>
        <w:rPr>
          <w:rFonts w:ascii="Garamond" w:hAnsi="Garamond"/>
          <w:sz w:val="24"/>
          <w:szCs w:val="24"/>
        </w:rPr>
      </w:pPr>
      <w:r>
        <w:rPr>
          <w:rFonts w:ascii="Garamond" w:hAnsi="Garamond"/>
          <w:sz w:val="24"/>
          <w:szCs w:val="24"/>
        </w:rPr>
        <w:t xml:space="preserve">There are 111 alumni of the PLACES Fellowship looking for ways to extend their learning, network with like-minded professionals and engage in additional opportunities focused on equity. There are over twenty fellowship programs with an equity, philanthropy or environment focus. There is a desire to create or identify opportunities for collaboration and shared learning across programs. </w:t>
      </w:r>
    </w:p>
    <w:p w:rsidR="00A733EC" w:rsidRDefault="00A733EC" w:rsidP="00A733EC">
      <w:pPr>
        <w:pStyle w:val="ListParagraph"/>
        <w:ind w:left="1440"/>
        <w:rPr>
          <w:rFonts w:ascii="Garamond" w:hAnsi="Garamond"/>
          <w:sz w:val="24"/>
          <w:szCs w:val="24"/>
        </w:rPr>
      </w:pPr>
    </w:p>
    <w:p w:rsidR="00B35445" w:rsidRDefault="00B35445" w:rsidP="00B35445">
      <w:pPr>
        <w:pStyle w:val="ListParagraph"/>
        <w:numPr>
          <w:ilvl w:val="0"/>
          <w:numId w:val="9"/>
        </w:numPr>
        <w:rPr>
          <w:rFonts w:ascii="Garamond" w:hAnsi="Garamond"/>
          <w:b/>
          <w:sz w:val="24"/>
          <w:szCs w:val="24"/>
        </w:rPr>
      </w:pPr>
      <w:r>
        <w:rPr>
          <w:rFonts w:ascii="Garamond" w:hAnsi="Garamond"/>
          <w:b/>
          <w:sz w:val="24"/>
          <w:szCs w:val="24"/>
        </w:rPr>
        <w:t>Increase Shared Learning and Support Integration within TFN and Other Philanthropy Serving Organizations</w:t>
      </w:r>
    </w:p>
    <w:p w:rsidR="00A733EC" w:rsidRDefault="00A733EC" w:rsidP="00A733EC">
      <w:pPr>
        <w:pStyle w:val="ListParagraph"/>
        <w:numPr>
          <w:ilvl w:val="1"/>
          <w:numId w:val="9"/>
        </w:numPr>
        <w:rPr>
          <w:rFonts w:ascii="Garamond" w:hAnsi="Garamond"/>
          <w:sz w:val="24"/>
          <w:szCs w:val="24"/>
        </w:rPr>
      </w:pPr>
      <w:r>
        <w:rPr>
          <w:rFonts w:ascii="Garamond" w:hAnsi="Garamond"/>
          <w:sz w:val="24"/>
          <w:szCs w:val="24"/>
        </w:rPr>
        <w:t xml:space="preserve">TFN will leverage its investment in PLACES alumni and their organizations by engaging alumni in multiple aspects, including, but not limited to, working groups, programmatic committees, conference planning, advisory board and TFN board service. We’d also like to build our network by partnering and engaging with other networks and affinity groups focused on equity, while building a go-to leadership pipeline of professionals.  </w:t>
      </w:r>
    </w:p>
    <w:p w:rsidR="00A733EC" w:rsidRDefault="00A733EC" w:rsidP="00905D6D">
      <w:pPr>
        <w:pStyle w:val="ListParagraph"/>
        <w:spacing w:after="0" w:line="240" w:lineRule="auto"/>
        <w:ind w:left="0"/>
        <w:rPr>
          <w:rFonts w:ascii="Garamond" w:hAnsi="Garamond"/>
          <w:b/>
          <w:sz w:val="28"/>
          <w:szCs w:val="28"/>
          <w:u w:val="single"/>
        </w:rPr>
      </w:pPr>
    </w:p>
    <w:p w:rsidR="00A733EC" w:rsidRDefault="00E62EC1" w:rsidP="00905D6D">
      <w:pPr>
        <w:pStyle w:val="ListParagraph"/>
        <w:spacing w:after="0" w:line="240" w:lineRule="auto"/>
        <w:ind w:left="0"/>
        <w:rPr>
          <w:rFonts w:ascii="Garamond" w:hAnsi="Garamond"/>
          <w:b/>
          <w:sz w:val="28"/>
          <w:szCs w:val="28"/>
          <w:u w:val="single"/>
        </w:rPr>
      </w:pPr>
      <w:r>
        <w:rPr>
          <w:rFonts w:ascii="Garamond" w:hAnsi="Garamond"/>
          <w:b/>
          <w:noProof/>
          <w:sz w:val="28"/>
          <w:szCs w:val="28"/>
          <w:u w:val="single"/>
        </w:rPr>
        <w:drawing>
          <wp:inline distT="0" distB="0" distL="0" distR="0">
            <wp:extent cx="5943600" cy="147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CES alumn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1473200"/>
                    </a:xfrm>
                    <a:prstGeom prst="rect">
                      <a:avLst/>
                    </a:prstGeom>
                  </pic:spPr>
                </pic:pic>
              </a:graphicData>
            </a:graphic>
          </wp:inline>
        </w:drawing>
      </w:r>
    </w:p>
    <w:p w:rsidR="00B34BC2" w:rsidRDefault="00B34BC2" w:rsidP="00905D6D">
      <w:pPr>
        <w:pStyle w:val="ListParagraph"/>
        <w:spacing w:after="0" w:line="240" w:lineRule="auto"/>
        <w:ind w:left="0"/>
        <w:rPr>
          <w:rFonts w:ascii="Garamond" w:hAnsi="Garamond"/>
          <w:b/>
          <w:sz w:val="28"/>
          <w:szCs w:val="28"/>
          <w:u w:val="single"/>
        </w:rPr>
      </w:pPr>
    </w:p>
    <w:p w:rsidR="00B34BC2" w:rsidRDefault="00B34BC2" w:rsidP="00905D6D">
      <w:pPr>
        <w:pStyle w:val="ListParagraph"/>
        <w:spacing w:after="0" w:line="240" w:lineRule="auto"/>
        <w:ind w:left="0"/>
        <w:rPr>
          <w:rFonts w:ascii="Garamond" w:hAnsi="Garamond"/>
          <w:b/>
          <w:sz w:val="28"/>
          <w:szCs w:val="28"/>
          <w:u w:val="single"/>
        </w:rPr>
      </w:pPr>
    </w:p>
    <w:p w:rsidR="00B34BC2" w:rsidRDefault="00B34BC2" w:rsidP="00905D6D">
      <w:pPr>
        <w:pStyle w:val="ListParagraph"/>
        <w:spacing w:after="0" w:line="240" w:lineRule="auto"/>
        <w:ind w:left="0"/>
        <w:rPr>
          <w:rFonts w:ascii="Garamond" w:hAnsi="Garamond"/>
          <w:b/>
          <w:sz w:val="28"/>
          <w:szCs w:val="28"/>
          <w:u w:val="single"/>
        </w:rPr>
      </w:pPr>
    </w:p>
    <w:p w:rsidR="00C976F1" w:rsidRPr="00840417" w:rsidRDefault="00043977" w:rsidP="00C976F1">
      <w:pPr>
        <w:spacing w:after="0" w:line="240" w:lineRule="auto"/>
        <w:rPr>
          <w:rFonts w:ascii="Garamond" w:hAnsi="Garamond"/>
          <w:b/>
          <w:sz w:val="28"/>
          <w:szCs w:val="28"/>
          <w:u w:val="single"/>
        </w:rPr>
      </w:pPr>
      <w:r>
        <w:rPr>
          <w:rFonts w:ascii="Garamond" w:hAnsi="Garamond"/>
          <w:b/>
          <w:sz w:val="28"/>
          <w:szCs w:val="28"/>
          <w:u w:val="single"/>
        </w:rPr>
        <w:lastRenderedPageBreak/>
        <w:t xml:space="preserve">Governance: </w:t>
      </w:r>
      <w:r w:rsidR="00C976F1" w:rsidRPr="00840417">
        <w:rPr>
          <w:rFonts w:ascii="Garamond" w:hAnsi="Garamond"/>
          <w:b/>
          <w:sz w:val="28"/>
          <w:szCs w:val="28"/>
          <w:u w:val="single"/>
        </w:rPr>
        <w:t>PLACES Advisory Board</w:t>
      </w:r>
    </w:p>
    <w:p w:rsidR="00C976F1" w:rsidRDefault="00C976F1" w:rsidP="00C976F1">
      <w:pPr>
        <w:spacing w:after="0" w:line="240" w:lineRule="auto"/>
        <w:rPr>
          <w:rFonts w:ascii="Garamond" w:hAnsi="Garamond"/>
          <w:sz w:val="24"/>
          <w:szCs w:val="24"/>
        </w:rPr>
      </w:pPr>
    </w:p>
    <w:p w:rsidR="00A35BF4" w:rsidRPr="00E65CED" w:rsidRDefault="00C976F1" w:rsidP="00A35BF4">
      <w:pPr>
        <w:spacing w:after="0" w:line="240" w:lineRule="auto"/>
        <w:rPr>
          <w:rFonts w:ascii="Garamond" w:hAnsi="Garamond"/>
          <w:sz w:val="24"/>
          <w:szCs w:val="24"/>
        </w:rPr>
      </w:pPr>
      <w:r>
        <w:rPr>
          <w:rFonts w:ascii="Garamond" w:hAnsi="Garamond"/>
          <w:sz w:val="24"/>
          <w:szCs w:val="24"/>
        </w:rPr>
        <w:t>The PLACES Fellowship Program is guided by a</w:t>
      </w:r>
      <w:r w:rsidRPr="00840417">
        <w:rPr>
          <w:rFonts w:ascii="Garamond" w:hAnsi="Garamond"/>
          <w:sz w:val="24"/>
          <w:szCs w:val="24"/>
        </w:rPr>
        <w:t xml:space="preserve">n advisory board of national and place-based funders </w:t>
      </w:r>
      <w:r>
        <w:rPr>
          <w:rFonts w:ascii="Garamond" w:hAnsi="Garamond"/>
          <w:sz w:val="24"/>
          <w:szCs w:val="24"/>
        </w:rPr>
        <w:t xml:space="preserve">used </w:t>
      </w:r>
      <w:r w:rsidRPr="00840417">
        <w:rPr>
          <w:rFonts w:ascii="Garamond" w:hAnsi="Garamond"/>
          <w:sz w:val="24"/>
          <w:szCs w:val="24"/>
        </w:rPr>
        <w:t xml:space="preserve">to engage </w:t>
      </w:r>
      <w:r>
        <w:rPr>
          <w:rFonts w:ascii="Garamond" w:hAnsi="Garamond"/>
          <w:sz w:val="24"/>
          <w:szCs w:val="24"/>
        </w:rPr>
        <w:t xml:space="preserve">in </w:t>
      </w:r>
      <w:r w:rsidRPr="00840417">
        <w:rPr>
          <w:rFonts w:ascii="Garamond" w:hAnsi="Garamond"/>
          <w:sz w:val="24"/>
          <w:szCs w:val="24"/>
        </w:rPr>
        <w:t xml:space="preserve">the </w:t>
      </w:r>
      <w:r>
        <w:rPr>
          <w:rFonts w:ascii="Garamond" w:hAnsi="Garamond"/>
          <w:sz w:val="24"/>
          <w:szCs w:val="24"/>
        </w:rPr>
        <w:t>TFN Network</w:t>
      </w:r>
      <w:r w:rsidRPr="00840417">
        <w:rPr>
          <w:rFonts w:ascii="Garamond" w:hAnsi="Garamond"/>
          <w:sz w:val="24"/>
          <w:szCs w:val="24"/>
        </w:rPr>
        <w:t xml:space="preserve"> as part of its ongoing commitment to incorporate issues of </w:t>
      </w:r>
      <w:r>
        <w:rPr>
          <w:rFonts w:ascii="Garamond" w:hAnsi="Garamond"/>
          <w:sz w:val="24"/>
          <w:szCs w:val="24"/>
        </w:rPr>
        <w:t xml:space="preserve">equity, </w:t>
      </w:r>
      <w:r w:rsidRPr="00840417">
        <w:rPr>
          <w:rFonts w:ascii="Garamond" w:hAnsi="Garamond"/>
          <w:sz w:val="24"/>
          <w:szCs w:val="24"/>
        </w:rPr>
        <w:t>fairness, opportunity and access in the fellowship program. The</w:t>
      </w:r>
      <w:r>
        <w:rPr>
          <w:rFonts w:ascii="Garamond" w:hAnsi="Garamond"/>
          <w:sz w:val="24"/>
          <w:szCs w:val="24"/>
        </w:rPr>
        <w:t xml:space="preserve"> advisory</w:t>
      </w:r>
      <w:r w:rsidRPr="00840417">
        <w:rPr>
          <w:rFonts w:ascii="Garamond" w:hAnsi="Garamond"/>
          <w:sz w:val="24"/>
          <w:szCs w:val="24"/>
        </w:rPr>
        <w:t xml:space="preserve"> board plays a vital role by serving as a guiding body for program development to remain focused on issues of race, class and opportunity in the context of growth and development. Additionally, board members contribute their perspectives and expertise related to implementation of PLACES goals and strategies</w:t>
      </w:r>
      <w:r>
        <w:rPr>
          <w:rFonts w:ascii="Garamond" w:hAnsi="Garamond"/>
          <w:sz w:val="24"/>
          <w:szCs w:val="24"/>
        </w:rPr>
        <w:t xml:space="preserve">. The advisory board has three subcommittees that focus on key aspects of the program. The visioning committee which focuses on strategic direction, partnership development, and alignment and integration with TFN programming and working groups. The selection committee which focuses on applicant </w:t>
      </w:r>
      <w:r w:rsidRPr="00E65CED">
        <w:rPr>
          <w:rFonts w:ascii="Garamond" w:hAnsi="Garamond"/>
          <w:sz w:val="24"/>
          <w:szCs w:val="24"/>
        </w:rPr>
        <w:t xml:space="preserve">outreach, recruitment and </w:t>
      </w:r>
      <w:r>
        <w:rPr>
          <w:rFonts w:ascii="Garamond" w:hAnsi="Garamond"/>
          <w:sz w:val="24"/>
          <w:szCs w:val="24"/>
        </w:rPr>
        <w:t xml:space="preserve">cohort </w:t>
      </w:r>
      <w:r w:rsidRPr="00E65CED">
        <w:rPr>
          <w:rFonts w:ascii="Garamond" w:hAnsi="Garamond"/>
          <w:sz w:val="24"/>
          <w:szCs w:val="24"/>
        </w:rPr>
        <w:t>selection</w:t>
      </w:r>
      <w:r>
        <w:rPr>
          <w:rFonts w:ascii="Garamond" w:hAnsi="Garamond"/>
          <w:sz w:val="24"/>
          <w:szCs w:val="24"/>
        </w:rPr>
        <w:t xml:space="preserve">. The engagement committee which focuses on </w:t>
      </w:r>
      <w:r w:rsidRPr="00E65CED">
        <w:rPr>
          <w:rFonts w:ascii="Garamond" w:hAnsi="Garamond"/>
          <w:sz w:val="24"/>
          <w:szCs w:val="24"/>
        </w:rPr>
        <w:t>creating extended opportunities for continued learning an</w:t>
      </w:r>
      <w:r w:rsidR="00A35BF4">
        <w:rPr>
          <w:rFonts w:ascii="Garamond" w:hAnsi="Garamond"/>
          <w:sz w:val="24"/>
          <w:szCs w:val="24"/>
        </w:rPr>
        <w:t>d networking for PLACES alumni and r</w:t>
      </w:r>
      <w:r w:rsidR="00A35BF4" w:rsidRPr="00E65CED">
        <w:rPr>
          <w:rFonts w:ascii="Garamond" w:hAnsi="Garamond"/>
          <w:sz w:val="24"/>
          <w:szCs w:val="24"/>
        </w:rPr>
        <w:t>esponsible for helping to engage alumni in various programs of TFN, including working groups.</w:t>
      </w:r>
    </w:p>
    <w:p w:rsidR="00B34BC2" w:rsidRDefault="00B34BC2" w:rsidP="00905D6D">
      <w:pPr>
        <w:pStyle w:val="ListParagraph"/>
        <w:spacing w:after="0" w:line="240" w:lineRule="auto"/>
        <w:ind w:left="0"/>
        <w:rPr>
          <w:rFonts w:ascii="Garamond" w:hAnsi="Garamond"/>
          <w:sz w:val="24"/>
          <w:szCs w:val="24"/>
        </w:rPr>
      </w:pPr>
    </w:p>
    <w:p w:rsidR="00CB3D8C" w:rsidRPr="009B2F5A" w:rsidRDefault="0071676B" w:rsidP="00CB3D8C">
      <w:pPr>
        <w:spacing w:after="0" w:line="240" w:lineRule="auto"/>
        <w:rPr>
          <w:rFonts w:ascii="Garamond" w:hAnsi="Garamond"/>
          <w:b/>
          <w:sz w:val="28"/>
          <w:szCs w:val="28"/>
          <w:u w:val="single"/>
        </w:rPr>
      </w:pPr>
      <w:r>
        <w:rPr>
          <w:rFonts w:ascii="Garamond" w:hAnsi="Garamond"/>
          <w:b/>
          <w:sz w:val="28"/>
          <w:szCs w:val="28"/>
          <w:u w:val="single"/>
        </w:rPr>
        <w:t xml:space="preserve">Commitment to </w:t>
      </w:r>
      <w:r w:rsidR="00CB3D8C" w:rsidRPr="009B2F5A">
        <w:rPr>
          <w:rFonts w:ascii="Garamond" w:hAnsi="Garamond"/>
          <w:b/>
          <w:sz w:val="28"/>
          <w:szCs w:val="28"/>
          <w:u w:val="single"/>
        </w:rPr>
        <w:t>Equity</w:t>
      </w:r>
      <w:r w:rsidR="00E8316D">
        <w:rPr>
          <w:rFonts w:ascii="Garamond" w:hAnsi="Garamond"/>
          <w:b/>
          <w:sz w:val="28"/>
          <w:szCs w:val="28"/>
          <w:u w:val="single"/>
        </w:rPr>
        <w:t>, Diversity</w:t>
      </w:r>
      <w:r w:rsidR="00CB3D8C" w:rsidRPr="009B2F5A">
        <w:rPr>
          <w:rFonts w:ascii="Garamond" w:hAnsi="Garamond"/>
          <w:b/>
          <w:sz w:val="28"/>
          <w:szCs w:val="28"/>
          <w:u w:val="single"/>
        </w:rPr>
        <w:t xml:space="preserve"> and Inclusion</w:t>
      </w:r>
      <w:r w:rsidR="00043977">
        <w:rPr>
          <w:rFonts w:ascii="Garamond" w:hAnsi="Garamond"/>
          <w:b/>
          <w:sz w:val="28"/>
          <w:szCs w:val="28"/>
          <w:u w:val="single"/>
        </w:rPr>
        <w:t>:</w:t>
      </w:r>
      <w:r w:rsidR="00CB3D8C" w:rsidRPr="009B2F5A">
        <w:rPr>
          <w:rFonts w:ascii="Garamond" w:hAnsi="Garamond"/>
          <w:b/>
          <w:sz w:val="28"/>
          <w:szCs w:val="28"/>
          <w:u w:val="single"/>
        </w:rPr>
        <w:t xml:space="preserve"> </w:t>
      </w:r>
    </w:p>
    <w:p w:rsidR="00CB3D8C" w:rsidRPr="00A27832" w:rsidRDefault="00CB3D8C" w:rsidP="00CB3D8C">
      <w:pPr>
        <w:pStyle w:val="ListParagraph"/>
        <w:spacing w:after="0" w:line="240" w:lineRule="auto"/>
        <w:ind w:left="1080"/>
        <w:rPr>
          <w:rFonts w:ascii="Garamond" w:hAnsi="Garamond"/>
          <w:b/>
          <w:sz w:val="24"/>
          <w:szCs w:val="24"/>
        </w:rPr>
      </w:pPr>
      <w:r>
        <w:rPr>
          <w:rFonts w:ascii="Garamond" w:hAnsi="Garamond"/>
          <w:b/>
          <w:sz w:val="24"/>
          <w:szCs w:val="24"/>
        </w:rPr>
        <w:t xml:space="preserve"> </w:t>
      </w:r>
    </w:p>
    <w:p w:rsidR="00CB3D8C" w:rsidRPr="00D21D6C" w:rsidRDefault="00CB3D8C" w:rsidP="00CB3D8C">
      <w:pPr>
        <w:spacing w:after="0" w:line="240" w:lineRule="auto"/>
        <w:rPr>
          <w:rFonts w:ascii="Garamond" w:hAnsi="Garamond"/>
          <w:sz w:val="24"/>
          <w:szCs w:val="24"/>
        </w:rPr>
      </w:pPr>
      <w:r w:rsidRPr="00D21D6C">
        <w:rPr>
          <w:rFonts w:ascii="Garamond" w:hAnsi="Garamond"/>
          <w:sz w:val="24"/>
          <w:szCs w:val="24"/>
        </w:rPr>
        <w:t xml:space="preserve">PLACES’ touches on every aspect of TFN’s Inclusiveness Framework. The fellowship works to build grant maker capacity and help the philanthropic sector address interrelated issues of community and economic development, environmental sustainability, and regional planning using an explicit lens of social, economic, and racial equity. </w:t>
      </w:r>
    </w:p>
    <w:p w:rsidR="00CB3D8C" w:rsidRPr="00905D6D" w:rsidRDefault="00CB3D8C" w:rsidP="00905D6D">
      <w:pPr>
        <w:pStyle w:val="ListParagraph"/>
        <w:spacing w:after="0" w:line="240" w:lineRule="auto"/>
        <w:ind w:left="0"/>
        <w:rPr>
          <w:rFonts w:ascii="Garamond" w:hAnsi="Garamond"/>
          <w:sz w:val="24"/>
          <w:szCs w:val="24"/>
        </w:rPr>
      </w:pPr>
    </w:p>
    <w:p w:rsidR="00905D6D" w:rsidRPr="00905D6D" w:rsidRDefault="00905D6D" w:rsidP="00905D6D">
      <w:pPr>
        <w:pStyle w:val="ListParagraph"/>
        <w:spacing w:after="0" w:line="240" w:lineRule="auto"/>
        <w:ind w:left="1080"/>
        <w:rPr>
          <w:rFonts w:ascii="Garamond" w:hAnsi="Garamond"/>
          <w:b/>
          <w:sz w:val="24"/>
          <w:szCs w:val="24"/>
        </w:rPr>
      </w:pPr>
    </w:p>
    <w:p w:rsidR="00905D6D" w:rsidRPr="009B2F5A" w:rsidRDefault="00905D6D" w:rsidP="00905D6D">
      <w:pPr>
        <w:pStyle w:val="ListParagraph"/>
        <w:spacing w:after="0" w:line="240" w:lineRule="auto"/>
        <w:ind w:left="0"/>
        <w:rPr>
          <w:rFonts w:ascii="Garamond" w:hAnsi="Garamond"/>
          <w:b/>
          <w:sz w:val="28"/>
          <w:szCs w:val="28"/>
          <w:u w:val="single"/>
        </w:rPr>
      </w:pPr>
      <w:r w:rsidRPr="009B2F5A">
        <w:rPr>
          <w:rFonts w:ascii="Garamond" w:hAnsi="Garamond"/>
          <w:b/>
          <w:sz w:val="28"/>
          <w:szCs w:val="28"/>
          <w:u w:val="single"/>
        </w:rPr>
        <w:t xml:space="preserve">Key </w:t>
      </w:r>
      <w:r w:rsidR="00FA241E">
        <w:rPr>
          <w:rFonts w:ascii="Garamond" w:hAnsi="Garamond"/>
          <w:b/>
          <w:sz w:val="28"/>
          <w:szCs w:val="28"/>
          <w:u w:val="single"/>
        </w:rPr>
        <w:t>Operating Principles</w:t>
      </w:r>
      <w:r w:rsidR="00043977">
        <w:rPr>
          <w:rFonts w:ascii="Garamond" w:hAnsi="Garamond"/>
          <w:b/>
          <w:sz w:val="28"/>
          <w:szCs w:val="28"/>
          <w:u w:val="single"/>
        </w:rPr>
        <w:t>:</w:t>
      </w:r>
    </w:p>
    <w:p w:rsidR="00905D6D" w:rsidRPr="00905D6D" w:rsidRDefault="00905D6D" w:rsidP="00905D6D">
      <w:pPr>
        <w:spacing w:after="0" w:line="240" w:lineRule="auto"/>
        <w:rPr>
          <w:rFonts w:ascii="Garamond" w:hAnsi="Garamond"/>
          <w:sz w:val="24"/>
          <w:szCs w:val="24"/>
        </w:rPr>
      </w:pPr>
    </w:p>
    <w:p w:rsidR="003F0DF4" w:rsidRPr="00917BA2" w:rsidRDefault="003F0DF4" w:rsidP="00905D6D">
      <w:pPr>
        <w:pStyle w:val="ListParagraph"/>
        <w:numPr>
          <w:ilvl w:val="0"/>
          <w:numId w:val="11"/>
        </w:numPr>
        <w:spacing w:after="0" w:line="240" w:lineRule="auto"/>
        <w:ind w:left="360"/>
        <w:rPr>
          <w:rFonts w:ascii="Garamond" w:hAnsi="Garamond"/>
          <w:sz w:val="24"/>
          <w:szCs w:val="24"/>
        </w:rPr>
      </w:pPr>
      <w:r w:rsidRPr="00917BA2">
        <w:rPr>
          <w:rFonts w:ascii="Garamond" w:hAnsi="Garamond"/>
          <w:b/>
          <w:sz w:val="24"/>
          <w:szCs w:val="24"/>
        </w:rPr>
        <w:t>Investing in professionals in the field of Philanthropy</w:t>
      </w:r>
      <w:r w:rsidRPr="00917BA2">
        <w:rPr>
          <w:rFonts w:ascii="Garamond" w:hAnsi="Garamond"/>
          <w:sz w:val="24"/>
          <w:szCs w:val="24"/>
        </w:rPr>
        <w:t xml:space="preserve"> to increase equitable practices within the field, within </w:t>
      </w:r>
      <w:proofErr w:type="spellStart"/>
      <w:r w:rsidRPr="00917BA2">
        <w:rPr>
          <w:rFonts w:ascii="Garamond" w:hAnsi="Garamond"/>
          <w:sz w:val="24"/>
          <w:szCs w:val="24"/>
        </w:rPr>
        <w:t>grantmaking</w:t>
      </w:r>
      <w:proofErr w:type="spellEnd"/>
      <w:r w:rsidRPr="00917BA2">
        <w:rPr>
          <w:rFonts w:ascii="Garamond" w:hAnsi="Garamond"/>
          <w:sz w:val="24"/>
          <w:szCs w:val="24"/>
        </w:rPr>
        <w:t xml:space="preserve"> practices and investment</w:t>
      </w:r>
      <w:r w:rsidR="00FE0ADB">
        <w:rPr>
          <w:rFonts w:ascii="Garamond" w:hAnsi="Garamond"/>
          <w:sz w:val="24"/>
          <w:szCs w:val="24"/>
        </w:rPr>
        <w:t>s</w:t>
      </w:r>
      <w:r w:rsidRPr="00917BA2">
        <w:rPr>
          <w:rFonts w:ascii="Garamond" w:hAnsi="Garamond"/>
          <w:sz w:val="24"/>
          <w:szCs w:val="24"/>
        </w:rPr>
        <w:t xml:space="preserve"> in low income communities and communities of color. </w:t>
      </w:r>
    </w:p>
    <w:p w:rsidR="003F0DF4" w:rsidRPr="003F0DF4" w:rsidRDefault="003F0DF4" w:rsidP="003F0DF4">
      <w:pPr>
        <w:pStyle w:val="ListParagraph"/>
        <w:spacing w:after="0" w:line="240" w:lineRule="auto"/>
        <w:ind w:left="360"/>
        <w:rPr>
          <w:rFonts w:ascii="Garamond" w:hAnsi="Garamond"/>
          <w:sz w:val="24"/>
          <w:szCs w:val="24"/>
        </w:rPr>
      </w:pPr>
    </w:p>
    <w:p w:rsidR="00905D6D" w:rsidRPr="00905D6D" w:rsidRDefault="00905D6D" w:rsidP="00905D6D">
      <w:pPr>
        <w:pStyle w:val="ListParagraph"/>
        <w:numPr>
          <w:ilvl w:val="0"/>
          <w:numId w:val="11"/>
        </w:numPr>
        <w:spacing w:after="0" w:line="240" w:lineRule="auto"/>
        <w:ind w:left="360"/>
        <w:rPr>
          <w:rFonts w:ascii="Garamond" w:hAnsi="Garamond"/>
          <w:sz w:val="24"/>
          <w:szCs w:val="24"/>
        </w:rPr>
      </w:pPr>
      <w:r w:rsidRPr="00905D6D">
        <w:rPr>
          <w:rFonts w:ascii="Garamond" w:hAnsi="Garamond"/>
          <w:b/>
          <w:sz w:val="24"/>
          <w:szCs w:val="24"/>
        </w:rPr>
        <w:t>Connecting Funders to PLACES</w:t>
      </w:r>
      <w:r w:rsidRPr="00905D6D">
        <w:rPr>
          <w:rFonts w:ascii="Garamond" w:hAnsi="Garamond"/>
          <w:sz w:val="24"/>
          <w:szCs w:val="24"/>
        </w:rPr>
        <w:t xml:space="preserve">: Continue creating and implementing strong programming that models equitable practices in philanthropy. </w:t>
      </w:r>
    </w:p>
    <w:p w:rsidR="00905D6D" w:rsidRPr="00905D6D" w:rsidRDefault="00905D6D" w:rsidP="00905D6D">
      <w:pPr>
        <w:pStyle w:val="ListParagraph"/>
        <w:spacing w:after="0" w:line="240" w:lineRule="auto"/>
        <w:ind w:left="360"/>
        <w:rPr>
          <w:rFonts w:ascii="Garamond" w:hAnsi="Garamond"/>
          <w:sz w:val="24"/>
          <w:szCs w:val="24"/>
        </w:rPr>
      </w:pPr>
    </w:p>
    <w:p w:rsidR="00905D6D" w:rsidRPr="00905D6D" w:rsidRDefault="00905D6D" w:rsidP="00905D6D">
      <w:pPr>
        <w:pStyle w:val="ListParagraph"/>
        <w:numPr>
          <w:ilvl w:val="0"/>
          <w:numId w:val="11"/>
        </w:numPr>
        <w:spacing w:after="0" w:line="240" w:lineRule="auto"/>
        <w:ind w:left="360"/>
        <w:rPr>
          <w:rFonts w:ascii="Garamond" w:hAnsi="Garamond"/>
          <w:sz w:val="24"/>
          <w:szCs w:val="24"/>
        </w:rPr>
      </w:pPr>
      <w:r w:rsidRPr="00905D6D">
        <w:rPr>
          <w:rFonts w:ascii="Garamond" w:hAnsi="Garamond"/>
          <w:b/>
          <w:sz w:val="24"/>
          <w:szCs w:val="24"/>
        </w:rPr>
        <w:t>Aligning PLACES with TFN</w:t>
      </w:r>
      <w:r w:rsidRPr="00905D6D">
        <w:rPr>
          <w:rFonts w:ascii="Garamond" w:hAnsi="Garamond"/>
          <w:sz w:val="24"/>
          <w:szCs w:val="24"/>
        </w:rPr>
        <w:t>: Ensure PLACES aligns with the principles and goals of TFN and strengthens the program as a national resource for equitable learning</w:t>
      </w:r>
      <w:r w:rsidR="00FE0ADB">
        <w:rPr>
          <w:rFonts w:ascii="Garamond" w:hAnsi="Garamond"/>
          <w:sz w:val="24"/>
          <w:szCs w:val="24"/>
        </w:rPr>
        <w:t xml:space="preserve"> and advancing equity</w:t>
      </w:r>
      <w:r w:rsidRPr="00905D6D">
        <w:rPr>
          <w:rFonts w:ascii="Garamond" w:hAnsi="Garamond"/>
          <w:sz w:val="24"/>
          <w:szCs w:val="24"/>
        </w:rPr>
        <w:t xml:space="preserve">. </w:t>
      </w:r>
    </w:p>
    <w:p w:rsidR="00905D6D" w:rsidRPr="00905D6D" w:rsidRDefault="00905D6D" w:rsidP="00905D6D">
      <w:pPr>
        <w:spacing w:after="0" w:line="240" w:lineRule="auto"/>
        <w:rPr>
          <w:rFonts w:ascii="Garamond" w:hAnsi="Garamond"/>
          <w:sz w:val="24"/>
          <w:szCs w:val="24"/>
        </w:rPr>
      </w:pPr>
    </w:p>
    <w:p w:rsidR="00905D6D" w:rsidRDefault="00905D6D" w:rsidP="00905D6D">
      <w:pPr>
        <w:pStyle w:val="ListParagraph"/>
        <w:numPr>
          <w:ilvl w:val="0"/>
          <w:numId w:val="11"/>
        </w:numPr>
        <w:spacing w:after="0" w:line="240" w:lineRule="auto"/>
        <w:ind w:left="360"/>
        <w:rPr>
          <w:rFonts w:ascii="Garamond" w:hAnsi="Garamond"/>
          <w:sz w:val="24"/>
          <w:szCs w:val="24"/>
        </w:rPr>
      </w:pPr>
      <w:r w:rsidRPr="00905D6D">
        <w:rPr>
          <w:rFonts w:ascii="Garamond" w:hAnsi="Garamond"/>
          <w:b/>
          <w:sz w:val="24"/>
          <w:szCs w:val="24"/>
        </w:rPr>
        <w:t>Producing Strong Leaders</w:t>
      </w:r>
      <w:r w:rsidRPr="00905D6D">
        <w:rPr>
          <w:rFonts w:ascii="Garamond" w:hAnsi="Garamond"/>
          <w:sz w:val="24"/>
          <w:szCs w:val="24"/>
        </w:rPr>
        <w:t>: Strengthen the capacity of PLACES to better serve TFN members</w:t>
      </w:r>
      <w:r w:rsidR="00FE0ADB">
        <w:rPr>
          <w:rFonts w:ascii="Garamond" w:hAnsi="Garamond"/>
          <w:sz w:val="24"/>
          <w:szCs w:val="24"/>
        </w:rPr>
        <w:t>, PLACES alumni</w:t>
      </w:r>
      <w:r w:rsidRPr="00905D6D">
        <w:rPr>
          <w:rFonts w:ascii="Garamond" w:hAnsi="Garamond"/>
          <w:sz w:val="24"/>
          <w:szCs w:val="24"/>
        </w:rPr>
        <w:t xml:space="preserve"> and the field of philanthropy.</w:t>
      </w:r>
    </w:p>
    <w:p w:rsidR="00905D6D" w:rsidRDefault="00905D6D" w:rsidP="00720F31">
      <w:pPr>
        <w:rPr>
          <w:rFonts w:ascii="Garamond" w:hAnsi="Garamond"/>
          <w:b/>
          <w:sz w:val="24"/>
          <w:szCs w:val="24"/>
          <w:u w:val="single"/>
        </w:rPr>
      </w:pPr>
    </w:p>
    <w:p w:rsidR="00D45C08" w:rsidRDefault="00D45C08" w:rsidP="00720F31">
      <w:pPr>
        <w:rPr>
          <w:rFonts w:ascii="Garamond" w:hAnsi="Garamond"/>
          <w:b/>
          <w:sz w:val="24"/>
          <w:szCs w:val="24"/>
          <w:u w:val="single"/>
        </w:rPr>
      </w:pPr>
    </w:p>
    <w:p w:rsidR="00D45C08" w:rsidRDefault="00D45C08" w:rsidP="00720F31">
      <w:pPr>
        <w:rPr>
          <w:rFonts w:ascii="Garamond" w:hAnsi="Garamond"/>
          <w:b/>
          <w:sz w:val="24"/>
          <w:szCs w:val="24"/>
          <w:u w:val="single"/>
        </w:rPr>
      </w:pPr>
      <w:r>
        <w:rPr>
          <w:rFonts w:ascii="Garamond" w:hAnsi="Garamond"/>
          <w:b/>
          <w:sz w:val="24"/>
          <w:szCs w:val="24"/>
          <w:u w:val="single"/>
        </w:rPr>
        <w:t>PLACES STAFFING</w:t>
      </w:r>
    </w:p>
    <w:p w:rsidR="00D45C08" w:rsidRPr="00D45C08" w:rsidRDefault="00D45C08" w:rsidP="00D45C08">
      <w:pPr>
        <w:pStyle w:val="ListParagraph"/>
        <w:numPr>
          <w:ilvl w:val="0"/>
          <w:numId w:val="38"/>
        </w:numPr>
        <w:rPr>
          <w:rFonts w:ascii="Garamond" w:hAnsi="Garamond"/>
          <w:b/>
          <w:sz w:val="24"/>
          <w:szCs w:val="24"/>
        </w:rPr>
      </w:pPr>
      <w:r w:rsidRPr="00D45C08">
        <w:rPr>
          <w:rFonts w:ascii="Garamond" w:hAnsi="Garamond"/>
          <w:b/>
          <w:sz w:val="24"/>
          <w:szCs w:val="24"/>
        </w:rPr>
        <w:t>Dion Cartwright, Director of Equitable Initiatives &amp; Leadership Development</w:t>
      </w:r>
    </w:p>
    <w:p w:rsidR="00D45C08" w:rsidRPr="00D45C08" w:rsidRDefault="00D45C08" w:rsidP="00D45C08">
      <w:pPr>
        <w:pStyle w:val="ListParagraph"/>
        <w:numPr>
          <w:ilvl w:val="0"/>
          <w:numId w:val="38"/>
        </w:numPr>
        <w:rPr>
          <w:rFonts w:ascii="Garamond" w:hAnsi="Garamond"/>
          <w:b/>
          <w:sz w:val="24"/>
          <w:szCs w:val="24"/>
        </w:rPr>
      </w:pPr>
      <w:r w:rsidRPr="00D45C08">
        <w:rPr>
          <w:rFonts w:ascii="Garamond" w:hAnsi="Garamond"/>
          <w:b/>
          <w:sz w:val="24"/>
          <w:szCs w:val="24"/>
        </w:rPr>
        <w:t>Marci Ovadia, Senior Associate, Equity &amp; Communications</w:t>
      </w:r>
    </w:p>
    <w:p w:rsidR="00D45C08" w:rsidRPr="00905D6D" w:rsidRDefault="00D45C08" w:rsidP="00720F31">
      <w:pPr>
        <w:rPr>
          <w:rFonts w:ascii="Garamond" w:hAnsi="Garamond"/>
          <w:b/>
          <w:sz w:val="24"/>
          <w:szCs w:val="24"/>
          <w:u w:val="single"/>
        </w:rPr>
      </w:pPr>
      <w:bookmarkStart w:id="0" w:name="_GoBack"/>
      <w:bookmarkEnd w:id="0"/>
    </w:p>
    <w:sectPr w:rsidR="00D45C08" w:rsidRPr="00905D6D" w:rsidSect="00B34BC2">
      <w:headerReference w:type="even" r:id="rId15"/>
      <w:headerReference w:type="default" r:id="rId16"/>
      <w:footerReference w:type="default" r:id="rId17"/>
      <w:headerReference w:type="first" r:id="rId18"/>
      <w:pgSz w:w="12240" w:h="15840"/>
      <w:pgMar w:top="720" w:right="1440" w:bottom="72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D51" w:rsidRDefault="00F77D51" w:rsidP="00EB3532">
      <w:pPr>
        <w:spacing w:after="0" w:line="240" w:lineRule="auto"/>
      </w:pPr>
      <w:r>
        <w:separator/>
      </w:r>
    </w:p>
  </w:endnote>
  <w:endnote w:type="continuationSeparator" w:id="0">
    <w:p w:rsidR="00F77D51" w:rsidRDefault="00F77D51" w:rsidP="00EB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972387"/>
      <w:docPartObj>
        <w:docPartGallery w:val="Page Numbers (Bottom of Page)"/>
        <w:docPartUnique/>
      </w:docPartObj>
    </w:sdtPr>
    <w:sdtEndPr/>
    <w:sdtContent>
      <w:p w:rsidR="00515151" w:rsidRDefault="00515151">
        <w:pPr>
          <w:pStyle w:val="Footer"/>
          <w:jc w:val="right"/>
        </w:pPr>
        <w:r>
          <w:t xml:space="preserve">Page | </w:t>
        </w:r>
        <w:r>
          <w:fldChar w:fldCharType="begin"/>
        </w:r>
        <w:r>
          <w:instrText xml:space="preserve"> PAGE   \* MERGEFORMAT </w:instrText>
        </w:r>
        <w:r>
          <w:fldChar w:fldCharType="separate"/>
        </w:r>
        <w:r w:rsidR="00D45C08">
          <w:rPr>
            <w:noProof/>
          </w:rPr>
          <w:t>4</w:t>
        </w:r>
        <w:r>
          <w:rPr>
            <w:noProof/>
          </w:rPr>
          <w:fldChar w:fldCharType="end"/>
        </w:r>
        <w:r>
          <w:t xml:space="preserve"> </w:t>
        </w:r>
      </w:p>
    </w:sdtContent>
  </w:sdt>
  <w:p w:rsidR="00515151" w:rsidRDefault="005151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D51" w:rsidRDefault="00F77D51" w:rsidP="00EB3532">
      <w:pPr>
        <w:spacing w:after="0" w:line="240" w:lineRule="auto"/>
      </w:pPr>
      <w:r>
        <w:separator/>
      </w:r>
    </w:p>
  </w:footnote>
  <w:footnote w:type="continuationSeparator" w:id="0">
    <w:p w:rsidR="00F77D51" w:rsidRDefault="00F77D51" w:rsidP="00EB3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151" w:rsidRDefault="00F77D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151" w:rsidRDefault="00515151" w:rsidP="00924BDB">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151" w:rsidRDefault="00515151">
    <w:pPr>
      <w:pStyle w:val="Header"/>
    </w:pPr>
    <w:r w:rsidRPr="00E43F09">
      <w:rPr>
        <w:rFonts w:ascii="Calibri" w:eastAsia="Calibri" w:hAnsi="Calibri" w:cs="Times New Roman"/>
        <w:noProof/>
        <w:color w:val="404040"/>
        <w:kern w:val="2"/>
        <w:sz w:val="20"/>
        <w:szCs w:val="20"/>
        <w14:ligatures w14:val="standard"/>
      </w:rPr>
      <w:t>PLACES STRATEGIC PLANNING SUMMARY</w:t>
    </w:r>
    <w:r w:rsidRPr="005A782A">
      <w:rPr>
        <w:rFonts w:ascii="Calibri" w:eastAsia="Calibri" w:hAnsi="Calibri" w:cs="Times New Roman"/>
        <w:noProof/>
        <w:color w:val="404040"/>
        <w:kern w:val="2"/>
        <w:sz w:val="20"/>
        <w:szCs w:val="20"/>
        <w14:ligatures w14:val="standard"/>
      </w:rPr>
      <w:drawing>
        <wp:anchor distT="0" distB="0" distL="114300" distR="114300" simplePos="0" relativeHeight="251666432" behindDoc="0" locked="0" layoutInCell="1" allowOverlap="1" wp14:anchorId="4A7E592F" wp14:editId="6C3035CA">
          <wp:simplePos x="0" y="0"/>
          <wp:positionH relativeFrom="page">
            <wp:align>right</wp:align>
          </wp:positionH>
          <wp:positionV relativeFrom="paragraph">
            <wp:posOffset>-459815</wp:posOffset>
          </wp:positionV>
          <wp:extent cx="7759700" cy="2012950"/>
          <wp:effectExtent l="0" t="0" r="0" b="635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59700" cy="2012950"/>
                  </a:xfrm>
                  <a:prstGeom prst="rect">
                    <a:avLst/>
                  </a:prstGeom>
                </pic:spPr>
              </pic:pic>
            </a:graphicData>
          </a:graphic>
          <wp14:sizeRelH relativeFrom="page">
            <wp14:pctWidth>0</wp14:pctWidth>
          </wp14:sizeRelH>
          <wp14:sizeRelV relativeFrom="page">
            <wp14:pctHeight>0</wp14:pctHeight>
          </wp14:sizeRelV>
        </wp:anchor>
      </w:drawing>
    </w:r>
    <w:r w:rsidR="00F77D5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813"/>
    <w:multiLevelType w:val="hybridMultilevel"/>
    <w:tmpl w:val="2D5E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37961"/>
    <w:multiLevelType w:val="hybridMultilevel"/>
    <w:tmpl w:val="8E885A74"/>
    <w:lvl w:ilvl="0" w:tplc="04090015">
      <w:start w:val="1"/>
      <w:numFmt w:val="upperLetter"/>
      <w:lvlText w:val="%1."/>
      <w:lvlJc w:val="left"/>
      <w:pPr>
        <w:ind w:left="720" w:hanging="360"/>
      </w:pPr>
      <w:rPr>
        <w:rFonts w:hint="default"/>
      </w:rPr>
    </w:lvl>
    <w:lvl w:ilvl="1" w:tplc="8EE8CD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20C7D"/>
    <w:multiLevelType w:val="hybridMultilevel"/>
    <w:tmpl w:val="751E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705DC"/>
    <w:multiLevelType w:val="hybridMultilevel"/>
    <w:tmpl w:val="4B82153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3A729CBE">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7733B"/>
    <w:multiLevelType w:val="hybridMultilevel"/>
    <w:tmpl w:val="BFD8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015FF"/>
    <w:multiLevelType w:val="hybridMultilevel"/>
    <w:tmpl w:val="FB52007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C29CD"/>
    <w:multiLevelType w:val="hybridMultilevel"/>
    <w:tmpl w:val="F5567F7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EA49AC"/>
    <w:multiLevelType w:val="hybridMultilevel"/>
    <w:tmpl w:val="917848E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B1EE6"/>
    <w:multiLevelType w:val="hybridMultilevel"/>
    <w:tmpl w:val="396C3FA6"/>
    <w:lvl w:ilvl="0" w:tplc="4038FA5E">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3957DC"/>
    <w:multiLevelType w:val="hybridMultilevel"/>
    <w:tmpl w:val="2944691E"/>
    <w:lvl w:ilvl="0" w:tplc="28E89D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B873AB"/>
    <w:multiLevelType w:val="hybridMultilevel"/>
    <w:tmpl w:val="F904C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B609C"/>
    <w:multiLevelType w:val="hybridMultilevel"/>
    <w:tmpl w:val="04C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D1C87"/>
    <w:multiLevelType w:val="hybridMultilevel"/>
    <w:tmpl w:val="C210762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9348AF40">
      <w:start w:val="3"/>
      <w:numFmt w:val="upperRoman"/>
      <w:lvlText w:val="%4&gt;"/>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74DB"/>
    <w:multiLevelType w:val="hybridMultilevel"/>
    <w:tmpl w:val="A8E878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E7519D7"/>
    <w:multiLevelType w:val="hybridMultilevel"/>
    <w:tmpl w:val="917848E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716F7D"/>
    <w:multiLevelType w:val="hybridMultilevel"/>
    <w:tmpl w:val="B4547C2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50611B"/>
    <w:multiLevelType w:val="hybridMultilevel"/>
    <w:tmpl w:val="1562C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495164A"/>
    <w:multiLevelType w:val="hybridMultilevel"/>
    <w:tmpl w:val="2E2A8CD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8C2127"/>
    <w:multiLevelType w:val="hybridMultilevel"/>
    <w:tmpl w:val="3774C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8736B04"/>
    <w:multiLevelType w:val="hybridMultilevel"/>
    <w:tmpl w:val="8A729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BB462E"/>
    <w:multiLevelType w:val="hybridMultilevel"/>
    <w:tmpl w:val="1112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B01C59"/>
    <w:multiLevelType w:val="hybridMultilevel"/>
    <w:tmpl w:val="6ECE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C61B3A"/>
    <w:multiLevelType w:val="hybridMultilevel"/>
    <w:tmpl w:val="4B22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1175B"/>
    <w:multiLevelType w:val="hybridMultilevel"/>
    <w:tmpl w:val="69767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A002D99"/>
    <w:multiLevelType w:val="hybridMultilevel"/>
    <w:tmpl w:val="5B180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A7E0049"/>
    <w:multiLevelType w:val="hybridMultilevel"/>
    <w:tmpl w:val="BAD4EFD2"/>
    <w:lvl w:ilvl="0" w:tplc="04090013">
      <w:start w:val="1"/>
      <w:numFmt w:val="upperRoman"/>
      <w:lvlText w:val="%1."/>
      <w:lvlJc w:val="right"/>
      <w:pPr>
        <w:ind w:left="720" w:hanging="360"/>
      </w:pPr>
      <w:rPr>
        <w:rFonts w:hint="default"/>
      </w:rPr>
    </w:lvl>
    <w:lvl w:ilvl="1" w:tplc="04090005">
      <w:start w:val="1"/>
      <w:numFmt w:val="bullet"/>
      <w:lvlText w:val=""/>
      <w:lvlJc w:val="left"/>
      <w:pPr>
        <w:ind w:left="1440" w:hanging="360"/>
      </w:pPr>
      <w:rPr>
        <w:rFonts w:ascii="Wingdings" w:hAnsi="Wingding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46DF9"/>
    <w:multiLevelType w:val="hybridMultilevel"/>
    <w:tmpl w:val="EDBCD20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5C1509"/>
    <w:multiLevelType w:val="hybridMultilevel"/>
    <w:tmpl w:val="61EAE834"/>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B31E0"/>
    <w:multiLevelType w:val="hybridMultilevel"/>
    <w:tmpl w:val="4608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A24B1A"/>
    <w:multiLevelType w:val="hybridMultilevel"/>
    <w:tmpl w:val="B1D4AC2E"/>
    <w:lvl w:ilvl="0" w:tplc="8EE8CD26">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07AEB"/>
    <w:multiLevelType w:val="hybridMultilevel"/>
    <w:tmpl w:val="D44E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962F7"/>
    <w:multiLevelType w:val="hybridMultilevel"/>
    <w:tmpl w:val="E61C724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FE2BAD"/>
    <w:multiLevelType w:val="hybridMultilevel"/>
    <w:tmpl w:val="917848E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0344F"/>
    <w:multiLevelType w:val="hybridMultilevel"/>
    <w:tmpl w:val="DC761868"/>
    <w:lvl w:ilvl="0" w:tplc="DFE855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241AA"/>
    <w:multiLevelType w:val="hybridMultilevel"/>
    <w:tmpl w:val="C3AC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C15FAF"/>
    <w:multiLevelType w:val="hybridMultilevel"/>
    <w:tmpl w:val="5E6CA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A01E75"/>
    <w:multiLevelType w:val="hybridMultilevel"/>
    <w:tmpl w:val="F2867E5A"/>
    <w:lvl w:ilvl="0" w:tplc="8814E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64D57"/>
    <w:multiLevelType w:val="hybridMultilevel"/>
    <w:tmpl w:val="F57C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35"/>
  </w:num>
  <w:num w:numId="4">
    <w:abstractNumId w:val="5"/>
  </w:num>
  <w:num w:numId="5">
    <w:abstractNumId w:val="10"/>
  </w:num>
  <w:num w:numId="6">
    <w:abstractNumId w:val="17"/>
  </w:num>
  <w:num w:numId="7">
    <w:abstractNumId w:val="8"/>
  </w:num>
  <w:num w:numId="8">
    <w:abstractNumId w:val="36"/>
  </w:num>
  <w:num w:numId="9">
    <w:abstractNumId w:val="25"/>
  </w:num>
  <w:num w:numId="10">
    <w:abstractNumId w:val="33"/>
  </w:num>
  <w:num w:numId="11">
    <w:abstractNumId w:val="6"/>
  </w:num>
  <w:num w:numId="12">
    <w:abstractNumId w:val="16"/>
  </w:num>
  <w:num w:numId="13">
    <w:abstractNumId w:val="11"/>
  </w:num>
  <w:num w:numId="14">
    <w:abstractNumId w:val="22"/>
  </w:num>
  <w:num w:numId="15">
    <w:abstractNumId w:val="13"/>
  </w:num>
  <w:num w:numId="16">
    <w:abstractNumId w:val="37"/>
  </w:num>
  <w:num w:numId="17">
    <w:abstractNumId w:val="30"/>
  </w:num>
  <w:num w:numId="18">
    <w:abstractNumId w:val="23"/>
  </w:num>
  <w:num w:numId="19">
    <w:abstractNumId w:val="21"/>
  </w:num>
  <w:num w:numId="20">
    <w:abstractNumId w:val="18"/>
  </w:num>
  <w:num w:numId="21">
    <w:abstractNumId w:val="24"/>
  </w:num>
  <w:num w:numId="22">
    <w:abstractNumId w:val="27"/>
  </w:num>
  <w:num w:numId="23">
    <w:abstractNumId w:val="3"/>
  </w:num>
  <w:num w:numId="24">
    <w:abstractNumId w:val="1"/>
  </w:num>
  <w:num w:numId="25">
    <w:abstractNumId w:val="15"/>
  </w:num>
  <w:num w:numId="26">
    <w:abstractNumId w:val="12"/>
  </w:num>
  <w:num w:numId="27">
    <w:abstractNumId w:val="14"/>
  </w:num>
  <w:num w:numId="28">
    <w:abstractNumId w:val="7"/>
  </w:num>
  <w:num w:numId="29">
    <w:abstractNumId w:val="32"/>
  </w:num>
  <w:num w:numId="30">
    <w:abstractNumId w:val="9"/>
  </w:num>
  <w:num w:numId="31">
    <w:abstractNumId w:val="31"/>
  </w:num>
  <w:num w:numId="32">
    <w:abstractNumId w:val="34"/>
  </w:num>
  <w:num w:numId="33">
    <w:abstractNumId w:val="28"/>
  </w:num>
  <w:num w:numId="34">
    <w:abstractNumId w:val="4"/>
  </w:num>
  <w:num w:numId="35">
    <w:abstractNumId w:val="20"/>
  </w:num>
  <w:num w:numId="36">
    <w:abstractNumId w:val="19"/>
  </w:num>
  <w:num w:numId="37">
    <w:abstractNumId w:val="29"/>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F31"/>
    <w:rsid w:val="00001C4F"/>
    <w:rsid w:val="0002684F"/>
    <w:rsid w:val="00026F1F"/>
    <w:rsid w:val="00043977"/>
    <w:rsid w:val="000527C1"/>
    <w:rsid w:val="0005509C"/>
    <w:rsid w:val="00056921"/>
    <w:rsid w:val="00057C1B"/>
    <w:rsid w:val="000645C8"/>
    <w:rsid w:val="00073874"/>
    <w:rsid w:val="00074E27"/>
    <w:rsid w:val="00076606"/>
    <w:rsid w:val="000A0648"/>
    <w:rsid w:val="000A2D1E"/>
    <w:rsid w:val="000A3A19"/>
    <w:rsid w:val="000B5AF5"/>
    <w:rsid w:val="000B622E"/>
    <w:rsid w:val="000D33BD"/>
    <w:rsid w:val="000D3BA7"/>
    <w:rsid w:val="000D6ECD"/>
    <w:rsid w:val="000F6061"/>
    <w:rsid w:val="00107D1D"/>
    <w:rsid w:val="00111BDB"/>
    <w:rsid w:val="0013478A"/>
    <w:rsid w:val="001352B2"/>
    <w:rsid w:val="0013569E"/>
    <w:rsid w:val="001366F0"/>
    <w:rsid w:val="00152A12"/>
    <w:rsid w:val="00155B5E"/>
    <w:rsid w:val="00162D5E"/>
    <w:rsid w:val="00171972"/>
    <w:rsid w:val="00176412"/>
    <w:rsid w:val="00180EA9"/>
    <w:rsid w:val="00181A12"/>
    <w:rsid w:val="00183B85"/>
    <w:rsid w:val="00185C63"/>
    <w:rsid w:val="001B3F7D"/>
    <w:rsid w:val="001C66B2"/>
    <w:rsid w:val="001D15E8"/>
    <w:rsid w:val="001D379B"/>
    <w:rsid w:val="001E2AC0"/>
    <w:rsid w:val="001F7C3E"/>
    <w:rsid w:val="0021554B"/>
    <w:rsid w:val="0021571B"/>
    <w:rsid w:val="00215D63"/>
    <w:rsid w:val="00230C1C"/>
    <w:rsid w:val="00235991"/>
    <w:rsid w:val="00243B9D"/>
    <w:rsid w:val="00247859"/>
    <w:rsid w:val="00247F89"/>
    <w:rsid w:val="00256B3C"/>
    <w:rsid w:val="00266F7E"/>
    <w:rsid w:val="00273D5D"/>
    <w:rsid w:val="0027639C"/>
    <w:rsid w:val="002A26D9"/>
    <w:rsid w:val="002C3224"/>
    <w:rsid w:val="002C5A6A"/>
    <w:rsid w:val="002C728A"/>
    <w:rsid w:val="002D7426"/>
    <w:rsid w:val="002E1D4D"/>
    <w:rsid w:val="002E1FBE"/>
    <w:rsid w:val="002E539F"/>
    <w:rsid w:val="002F0971"/>
    <w:rsid w:val="003051CF"/>
    <w:rsid w:val="00337C82"/>
    <w:rsid w:val="00337EA3"/>
    <w:rsid w:val="00342250"/>
    <w:rsid w:val="00347C3A"/>
    <w:rsid w:val="003558D9"/>
    <w:rsid w:val="00360CBB"/>
    <w:rsid w:val="00377B37"/>
    <w:rsid w:val="0038581C"/>
    <w:rsid w:val="0038596B"/>
    <w:rsid w:val="00386509"/>
    <w:rsid w:val="00390C14"/>
    <w:rsid w:val="00396B62"/>
    <w:rsid w:val="003A0B9A"/>
    <w:rsid w:val="003A28B4"/>
    <w:rsid w:val="003A39FF"/>
    <w:rsid w:val="003B3B70"/>
    <w:rsid w:val="003C620D"/>
    <w:rsid w:val="003E210F"/>
    <w:rsid w:val="003E43F7"/>
    <w:rsid w:val="003F0DF4"/>
    <w:rsid w:val="003F7416"/>
    <w:rsid w:val="003F7DCC"/>
    <w:rsid w:val="004009DA"/>
    <w:rsid w:val="004266D7"/>
    <w:rsid w:val="004334DB"/>
    <w:rsid w:val="00447717"/>
    <w:rsid w:val="00455D27"/>
    <w:rsid w:val="0046083E"/>
    <w:rsid w:val="00473941"/>
    <w:rsid w:val="00474315"/>
    <w:rsid w:val="00477F9C"/>
    <w:rsid w:val="00481585"/>
    <w:rsid w:val="004900D8"/>
    <w:rsid w:val="004A71E2"/>
    <w:rsid w:val="004C07C8"/>
    <w:rsid w:val="004C3332"/>
    <w:rsid w:val="004C4250"/>
    <w:rsid w:val="004E19DF"/>
    <w:rsid w:val="004E1D90"/>
    <w:rsid w:val="004F018A"/>
    <w:rsid w:val="004F0B69"/>
    <w:rsid w:val="004F4B3F"/>
    <w:rsid w:val="00510C3A"/>
    <w:rsid w:val="00515151"/>
    <w:rsid w:val="00515489"/>
    <w:rsid w:val="00516C27"/>
    <w:rsid w:val="00524338"/>
    <w:rsid w:val="0053145B"/>
    <w:rsid w:val="00547899"/>
    <w:rsid w:val="00551DE2"/>
    <w:rsid w:val="0055269E"/>
    <w:rsid w:val="00561285"/>
    <w:rsid w:val="00570303"/>
    <w:rsid w:val="0057156A"/>
    <w:rsid w:val="00573E30"/>
    <w:rsid w:val="005772B5"/>
    <w:rsid w:val="00594ACC"/>
    <w:rsid w:val="005A6E74"/>
    <w:rsid w:val="005A782A"/>
    <w:rsid w:val="005C031F"/>
    <w:rsid w:val="005C14F8"/>
    <w:rsid w:val="005C49D1"/>
    <w:rsid w:val="005C521E"/>
    <w:rsid w:val="005D0686"/>
    <w:rsid w:val="005D65A3"/>
    <w:rsid w:val="005E5B5E"/>
    <w:rsid w:val="005F022A"/>
    <w:rsid w:val="005F644C"/>
    <w:rsid w:val="00607516"/>
    <w:rsid w:val="006272DB"/>
    <w:rsid w:val="00630073"/>
    <w:rsid w:val="006560F6"/>
    <w:rsid w:val="006643D7"/>
    <w:rsid w:val="0066491E"/>
    <w:rsid w:val="00680E76"/>
    <w:rsid w:val="00691268"/>
    <w:rsid w:val="0069463B"/>
    <w:rsid w:val="006A2916"/>
    <w:rsid w:val="006B5BE4"/>
    <w:rsid w:val="006C2AEE"/>
    <w:rsid w:val="006C348E"/>
    <w:rsid w:val="006D7394"/>
    <w:rsid w:val="006E1A6B"/>
    <w:rsid w:val="006E473A"/>
    <w:rsid w:val="006F62E4"/>
    <w:rsid w:val="007001BA"/>
    <w:rsid w:val="00704172"/>
    <w:rsid w:val="00704DA1"/>
    <w:rsid w:val="0071676B"/>
    <w:rsid w:val="00720F31"/>
    <w:rsid w:val="00725A19"/>
    <w:rsid w:val="0072687E"/>
    <w:rsid w:val="0073172B"/>
    <w:rsid w:val="00766209"/>
    <w:rsid w:val="0077004C"/>
    <w:rsid w:val="007A002B"/>
    <w:rsid w:val="007A09C4"/>
    <w:rsid w:val="007A5F19"/>
    <w:rsid w:val="007C2461"/>
    <w:rsid w:val="007C7379"/>
    <w:rsid w:val="007C765E"/>
    <w:rsid w:val="007D1874"/>
    <w:rsid w:val="007E7B8C"/>
    <w:rsid w:val="007F293C"/>
    <w:rsid w:val="008017C6"/>
    <w:rsid w:val="008319E0"/>
    <w:rsid w:val="00836762"/>
    <w:rsid w:val="00836AB9"/>
    <w:rsid w:val="00836B85"/>
    <w:rsid w:val="008529E3"/>
    <w:rsid w:val="0085421C"/>
    <w:rsid w:val="00871683"/>
    <w:rsid w:val="0089656F"/>
    <w:rsid w:val="0089666F"/>
    <w:rsid w:val="008A2EB0"/>
    <w:rsid w:val="008A54B0"/>
    <w:rsid w:val="008C151A"/>
    <w:rsid w:val="008C1DB0"/>
    <w:rsid w:val="008C7A3B"/>
    <w:rsid w:val="008D4D24"/>
    <w:rsid w:val="008E5409"/>
    <w:rsid w:val="008E7CC9"/>
    <w:rsid w:val="008F5A78"/>
    <w:rsid w:val="0090394B"/>
    <w:rsid w:val="00905014"/>
    <w:rsid w:val="00905D6D"/>
    <w:rsid w:val="0090788B"/>
    <w:rsid w:val="00914B41"/>
    <w:rsid w:val="00917BA2"/>
    <w:rsid w:val="0092096E"/>
    <w:rsid w:val="00921461"/>
    <w:rsid w:val="00924BDB"/>
    <w:rsid w:val="00937759"/>
    <w:rsid w:val="00956433"/>
    <w:rsid w:val="0098204F"/>
    <w:rsid w:val="00982498"/>
    <w:rsid w:val="00984736"/>
    <w:rsid w:val="009878D7"/>
    <w:rsid w:val="00996A4E"/>
    <w:rsid w:val="009B1903"/>
    <w:rsid w:val="009B2F5A"/>
    <w:rsid w:val="009B5A4B"/>
    <w:rsid w:val="009B7565"/>
    <w:rsid w:val="009C0BB2"/>
    <w:rsid w:val="009C0E6F"/>
    <w:rsid w:val="009E5A7E"/>
    <w:rsid w:val="009F1221"/>
    <w:rsid w:val="00A02943"/>
    <w:rsid w:val="00A04F13"/>
    <w:rsid w:val="00A05598"/>
    <w:rsid w:val="00A06F35"/>
    <w:rsid w:val="00A07F7C"/>
    <w:rsid w:val="00A23590"/>
    <w:rsid w:val="00A35BF4"/>
    <w:rsid w:val="00A709A8"/>
    <w:rsid w:val="00A733EC"/>
    <w:rsid w:val="00A913CB"/>
    <w:rsid w:val="00A91F02"/>
    <w:rsid w:val="00A93A6A"/>
    <w:rsid w:val="00A93CA3"/>
    <w:rsid w:val="00A9437D"/>
    <w:rsid w:val="00AA2310"/>
    <w:rsid w:val="00AB2085"/>
    <w:rsid w:val="00AB5BA5"/>
    <w:rsid w:val="00AB5E46"/>
    <w:rsid w:val="00AC6BBE"/>
    <w:rsid w:val="00AC707B"/>
    <w:rsid w:val="00AD4918"/>
    <w:rsid w:val="00AD7C45"/>
    <w:rsid w:val="00AE6002"/>
    <w:rsid w:val="00AF0447"/>
    <w:rsid w:val="00B05976"/>
    <w:rsid w:val="00B17D61"/>
    <w:rsid w:val="00B2279A"/>
    <w:rsid w:val="00B25ABB"/>
    <w:rsid w:val="00B27170"/>
    <w:rsid w:val="00B34BC2"/>
    <w:rsid w:val="00B35445"/>
    <w:rsid w:val="00B3628F"/>
    <w:rsid w:val="00B4185C"/>
    <w:rsid w:val="00B41EA7"/>
    <w:rsid w:val="00B455D2"/>
    <w:rsid w:val="00B53753"/>
    <w:rsid w:val="00B71B21"/>
    <w:rsid w:val="00B91E65"/>
    <w:rsid w:val="00BA2C8A"/>
    <w:rsid w:val="00BA72A1"/>
    <w:rsid w:val="00BB5809"/>
    <w:rsid w:val="00BE7D2E"/>
    <w:rsid w:val="00BF05FA"/>
    <w:rsid w:val="00BF240C"/>
    <w:rsid w:val="00BF4484"/>
    <w:rsid w:val="00C027ED"/>
    <w:rsid w:val="00C12CCE"/>
    <w:rsid w:val="00C17F9B"/>
    <w:rsid w:val="00C218CD"/>
    <w:rsid w:val="00C22D6A"/>
    <w:rsid w:val="00C3407C"/>
    <w:rsid w:val="00C47C55"/>
    <w:rsid w:val="00C52F83"/>
    <w:rsid w:val="00C621EA"/>
    <w:rsid w:val="00C63D38"/>
    <w:rsid w:val="00C65239"/>
    <w:rsid w:val="00C66046"/>
    <w:rsid w:val="00C91460"/>
    <w:rsid w:val="00C97491"/>
    <w:rsid w:val="00C976F1"/>
    <w:rsid w:val="00CB3D8C"/>
    <w:rsid w:val="00CB5C35"/>
    <w:rsid w:val="00CB7B6E"/>
    <w:rsid w:val="00CC5A38"/>
    <w:rsid w:val="00CE35B8"/>
    <w:rsid w:val="00CF3169"/>
    <w:rsid w:val="00CF67D8"/>
    <w:rsid w:val="00CF73AD"/>
    <w:rsid w:val="00D066E7"/>
    <w:rsid w:val="00D13118"/>
    <w:rsid w:val="00D21D6C"/>
    <w:rsid w:val="00D3064A"/>
    <w:rsid w:val="00D3401C"/>
    <w:rsid w:val="00D35819"/>
    <w:rsid w:val="00D36BEC"/>
    <w:rsid w:val="00D406C0"/>
    <w:rsid w:val="00D44C0E"/>
    <w:rsid w:val="00D45C08"/>
    <w:rsid w:val="00D46857"/>
    <w:rsid w:val="00D52989"/>
    <w:rsid w:val="00D542B2"/>
    <w:rsid w:val="00D771BF"/>
    <w:rsid w:val="00D771C7"/>
    <w:rsid w:val="00D813C3"/>
    <w:rsid w:val="00D931FC"/>
    <w:rsid w:val="00D9359C"/>
    <w:rsid w:val="00D94F05"/>
    <w:rsid w:val="00D956B2"/>
    <w:rsid w:val="00D97D96"/>
    <w:rsid w:val="00DA4FE1"/>
    <w:rsid w:val="00DC1464"/>
    <w:rsid w:val="00DD0FEC"/>
    <w:rsid w:val="00DD50CF"/>
    <w:rsid w:val="00DD6566"/>
    <w:rsid w:val="00E03B58"/>
    <w:rsid w:val="00E05487"/>
    <w:rsid w:val="00E25491"/>
    <w:rsid w:val="00E37914"/>
    <w:rsid w:val="00E43D17"/>
    <w:rsid w:val="00E43F09"/>
    <w:rsid w:val="00E60F0F"/>
    <w:rsid w:val="00E62EC1"/>
    <w:rsid w:val="00E67EDA"/>
    <w:rsid w:val="00E7362A"/>
    <w:rsid w:val="00E81A21"/>
    <w:rsid w:val="00E8316D"/>
    <w:rsid w:val="00E85039"/>
    <w:rsid w:val="00EB3532"/>
    <w:rsid w:val="00EC124C"/>
    <w:rsid w:val="00EC52CF"/>
    <w:rsid w:val="00ED0516"/>
    <w:rsid w:val="00ED4994"/>
    <w:rsid w:val="00ED52FC"/>
    <w:rsid w:val="00ED59A8"/>
    <w:rsid w:val="00EF4043"/>
    <w:rsid w:val="00EF6ED2"/>
    <w:rsid w:val="00F009EA"/>
    <w:rsid w:val="00F07A2F"/>
    <w:rsid w:val="00F14C77"/>
    <w:rsid w:val="00F177A2"/>
    <w:rsid w:val="00F2112E"/>
    <w:rsid w:val="00F25914"/>
    <w:rsid w:val="00F474AE"/>
    <w:rsid w:val="00F77D51"/>
    <w:rsid w:val="00F81674"/>
    <w:rsid w:val="00F9156B"/>
    <w:rsid w:val="00FA241E"/>
    <w:rsid w:val="00FA5FD6"/>
    <w:rsid w:val="00FB1DB9"/>
    <w:rsid w:val="00FB5D18"/>
    <w:rsid w:val="00FC1E1F"/>
    <w:rsid w:val="00FC634F"/>
    <w:rsid w:val="00FE026E"/>
    <w:rsid w:val="00FE04D9"/>
    <w:rsid w:val="00FE0ADB"/>
    <w:rsid w:val="00FE4ECF"/>
    <w:rsid w:val="00FF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725A9C0"/>
  <w15:chartTrackingRefBased/>
  <w15:docId w15:val="{F4464101-2918-42CD-B3B3-A42BB6DF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F31"/>
    <w:pPr>
      <w:ind w:left="720"/>
      <w:contextualSpacing/>
    </w:pPr>
  </w:style>
  <w:style w:type="paragraph" w:styleId="BalloonText">
    <w:name w:val="Balloon Text"/>
    <w:basedOn w:val="Normal"/>
    <w:link w:val="BalloonTextChar"/>
    <w:uiPriority w:val="99"/>
    <w:semiHidden/>
    <w:unhideWhenUsed/>
    <w:rsid w:val="00230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C1C"/>
    <w:rPr>
      <w:rFonts w:ascii="Segoe UI" w:hAnsi="Segoe UI" w:cs="Segoe UI"/>
      <w:sz w:val="18"/>
      <w:szCs w:val="18"/>
    </w:rPr>
  </w:style>
  <w:style w:type="table" w:styleId="TableGrid">
    <w:name w:val="Table Grid"/>
    <w:basedOn w:val="TableNormal"/>
    <w:uiPriority w:val="59"/>
    <w:rsid w:val="00D21D6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532"/>
  </w:style>
  <w:style w:type="paragraph" w:styleId="Footer">
    <w:name w:val="footer"/>
    <w:basedOn w:val="Normal"/>
    <w:link w:val="FooterChar"/>
    <w:uiPriority w:val="99"/>
    <w:unhideWhenUsed/>
    <w:rsid w:val="00EB3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532"/>
  </w:style>
  <w:style w:type="paragraph" w:styleId="NoSpacing">
    <w:name w:val="No Spacing"/>
    <w:link w:val="NoSpacingChar"/>
    <w:uiPriority w:val="1"/>
    <w:qFormat/>
    <w:rsid w:val="00E43F09"/>
    <w:pPr>
      <w:spacing w:after="0" w:line="240" w:lineRule="auto"/>
    </w:pPr>
    <w:rPr>
      <w:rFonts w:eastAsiaTheme="minorEastAsia"/>
    </w:rPr>
  </w:style>
  <w:style w:type="character" w:customStyle="1" w:styleId="NoSpacingChar">
    <w:name w:val="No Spacing Char"/>
    <w:basedOn w:val="DefaultParagraphFont"/>
    <w:link w:val="NoSpacing"/>
    <w:uiPriority w:val="1"/>
    <w:rsid w:val="00E43F09"/>
    <w:rPr>
      <w:rFonts w:eastAsiaTheme="minorEastAsia"/>
    </w:rPr>
  </w:style>
  <w:style w:type="character" w:styleId="CommentReference">
    <w:name w:val="annotation reference"/>
    <w:basedOn w:val="DefaultParagraphFont"/>
    <w:uiPriority w:val="99"/>
    <w:semiHidden/>
    <w:unhideWhenUsed/>
    <w:rsid w:val="00BE7D2E"/>
    <w:rPr>
      <w:sz w:val="16"/>
      <w:szCs w:val="16"/>
    </w:rPr>
  </w:style>
  <w:style w:type="paragraph" w:styleId="CommentText">
    <w:name w:val="annotation text"/>
    <w:basedOn w:val="Normal"/>
    <w:link w:val="CommentTextChar"/>
    <w:uiPriority w:val="99"/>
    <w:semiHidden/>
    <w:unhideWhenUsed/>
    <w:rsid w:val="00BE7D2E"/>
    <w:pPr>
      <w:spacing w:line="240" w:lineRule="auto"/>
    </w:pPr>
    <w:rPr>
      <w:sz w:val="20"/>
      <w:szCs w:val="20"/>
    </w:rPr>
  </w:style>
  <w:style w:type="character" w:customStyle="1" w:styleId="CommentTextChar">
    <w:name w:val="Comment Text Char"/>
    <w:basedOn w:val="DefaultParagraphFont"/>
    <w:link w:val="CommentText"/>
    <w:uiPriority w:val="99"/>
    <w:semiHidden/>
    <w:rsid w:val="00BE7D2E"/>
    <w:rPr>
      <w:sz w:val="20"/>
      <w:szCs w:val="20"/>
    </w:rPr>
  </w:style>
  <w:style w:type="paragraph" w:styleId="CommentSubject">
    <w:name w:val="annotation subject"/>
    <w:basedOn w:val="CommentText"/>
    <w:next w:val="CommentText"/>
    <w:link w:val="CommentSubjectChar"/>
    <w:uiPriority w:val="99"/>
    <w:semiHidden/>
    <w:unhideWhenUsed/>
    <w:rsid w:val="00BE7D2E"/>
    <w:rPr>
      <w:b/>
      <w:bCs/>
    </w:rPr>
  </w:style>
  <w:style w:type="character" w:customStyle="1" w:styleId="CommentSubjectChar">
    <w:name w:val="Comment Subject Char"/>
    <w:basedOn w:val="CommentTextChar"/>
    <w:link w:val="CommentSubject"/>
    <w:uiPriority w:val="99"/>
    <w:semiHidden/>
    <w:rsid w:val="00BE7D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581867">
      <w:bodyDiv w:val="1"/>
      <w:marLeft w:val="0"/>
      <w:marRight w:val="0"/>
      <w:marTop w:val="0"/>
      <w:marBottom w:val="0"/>
      <w:divBdr>
        <w:top w:val="none" w:sz="0" w:space="0" w:color="auto"/>
        <w:left w:val="none" w:sz="0" w:space="0" w:color="auto"/>
        <w:bottom w:val="none" w:sz="0" w:space="0" w:color="auto"/>
        <w:right w:val="none" w:sz="0" w:space="0" w:color="auto"/>
      </w:divBdr>
    </w:div>
    <w:div w:id="16396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EE8B4B-2CAF-4EF8-9739-5C1B3C6192EA}" type="doc">
      <dgm:prSet loTypeId="urn:microsoft.com/office/officeart/2005/8/layout/cycle2" loCatId="cycle" qsTypeId="urn:microsoft.com/office/officeart/2005/8/quickstyle/simple5" qsCatId="simple" csTypeId="urn:microsoft.com/office/officeart/2005/8/colors/accent2_3" csCatId="accent2" phldr="1"/>
      <dgm:spPr/>
      <dgm:t>
        <a:bodyPr/>
        <a:lstStyle/>
        <a:p>
          <a:endParaRPr lang="en-US"/>
        </a:p>
      </dgm:t>
    </dgm:pt>
    <dgm:pt modelId="{6261A7D5-169F-4FAE-A4CC-951C1EF1B3EE}">
      <dgm:prSet phldrT="[Text]"/>
      <dgm:spPr/>
      <dgm:t>
        <a:bodyPr/>
        <a:lstStyle/>
        <a:p>
          <a:pPr algn="ctr"/>
          <a:r>
            <a:rPr lang="en-US"/>
            <a:t>Personal Leadership Development</a:t>
          </a:r>
        </a:p>
      </dgm:t>
    </dgm:pt>
    <dgm:pt modelId="{B567ADB1-2659-4444-BA79-4E80AD6A0F3F}" type="parTrans" cxnId="{4E772958-6E83-4D4A-A262-DD0FE731D18E}">
      <dgm:prSet/>
      <dgm:spPr/>
      <dgm:t>
        <a:bodyPr/>
        <a:lstStyle/>
        <a:p>
          <a:pPr algn="ctr"/>
          <a:endParaRPr lang="en-US"/>
        </a:p>
      </dgm:t>
    </dgm:pt>
    <dgm:pt modelId="{D93D0B35-0CE6-4103-8729-0275D9F88323}" type="sibTrans" cxnId="{4E772958-6E83-4D4A-A262-DD0FE731D18E}">
      <dgm:prSet/>
      <dgm:spPr/>
      <dgm:t>
        <a:bodyPr/>
        <a:lstStyle/>
        <a:p>
          <a:pPr algn="ctr"/>
          <a:endParaRPr lang="en-US"/>
        </a:p>
      </dgm:t>
    </dgm:pt>
    <dgm:pt modelId="{ADF26718-A27F-4911-8AA0-49568B115F99}">
      <dgm:prSet phldrT="[Text]"/>
      <dgm:spPr/>
      <dgm:t>
        <a:bodyPr/>
        <a:lstStyle/>
        <a:p>
          <a:pPr algn="ctr"/>
          <a:r>
            <a:rPr lang="en-US"/>
            <a:t>Equity, Inclusiveness and Smart Growth Principles</a:t>
          </a:r>
        </a:p>
      </dgm:t>
    </dgm:pt>
    <dgm:pt modelId="{96CFEEB8-44B2-4601-8F35-A5A5BAE293BB}" type="parTrans" cxnId="{3E11DCB2-52FA-478D-8942-3F224B53BCEF}">
      <dgm:prSet/>
      <dgm:spPr/>
      <dgm:t>
        <a:bodyPr/>
        <a:lstStyle/>
        <a:p>
          <a:pPr algn="ctr"/>
          <a:endParaRPr lang="en-US"/>
        </a:p>
      </dgm:t>
    </dgm:pt>
    <dgm:pt modelId="{D9831432-5FA3-44F6-9897-00096C762CC2}" type="sibTrans" cxnId="{3E11DCB2-52FA-478D-8942-3F224B53BCEF}">
      <dgm:prSet/>
      <dgm:spPr/>
      <dgm:t>
        <a:bodyPr/>
        <a:lstStyle/>
        <a:p>
          <a:pPr algn="ctr"/>
          <a:endParaRPr lang="en-US"/>
        </a:p>
      </dgm:t>
    </dgm:pt>
    <dgm:pt modelId="{17A8A104-9D00-473D-A5B4-4BC2A68C1A54}">
      <dgm:prSet phldrT="[Text]"/>
      <dgm:spPr/>
      <dgm:t>
        <a:bodyPr/>
        <a:lstStyle/>
        <a:p>
          <a:pPr algn="ctr"/>
          <a:r>
            <a:rPr lang="en-US"/>
            <a:t>Learning the Constructs of Race and Racialization</a:t>
          </a:r>
        </a:p>
      </dgm:t>
    </dgm:pt>
    <dgm:pt modelId="{A8EF3B4D-1EC1-4544-BEE5-60785032548C}" type="parTrans" cxnId="{9EECA548-FEE9-440B-9AE6-C6BE8C5C19DE}">
      <dgm:prSet/>
      <dgm:spPr/>
      <dgm:t>
        <a:bodyPr/>
        <a:lstStyle/>
        <a:p>
          <a:pPr algn="ctr"/>
          <a:endParaRPr lang="en-US"/>
        </a:p>
      </dgm:t>
    </dgm:pt>
    <dgm:pt modelId="{8A358112-B417-4891-ACEF-D0BBEFB86DCB}" type="sibTrans" cxnId="{9EECA548-FEE9-440B-9AE6-C6BE8C5C19DE}">
      <dgm:prSet/>
      <dgm:spPr/>
      <dgm:t>
        <a:bodyPr/>
        <a:lstStyle/>
        <a:p>
          <a:pPr algn="ctr"/>
          <a:endParaRPr lang="en-US"/>
        </a:p>
      </dgm:t>
    </dgm:pt>
    <dgm:pt modelId="{EC251F1E-3213-408F-B12D-5DD367BD5947}">
      <dgm:prSet phldrT="[Text]"/>
      <dgm:spPr/>
      <dgm:t>
        <a:bodyPr/>
        <a:lstStyle/>
        <a:p>
          <a:pPr algn="ctr"/>
          <a:r>
            <a:rPr lang="en-US"/>
            <a:t>Grantmaking to Increase Equity in Philanthropy</a:t>
          </a:r>
        </a:p>
      </dgm:t>
    </dgm:pt>
    <dgm:pt modelId="{1C268D89-796B-4417-8684-F77A1BCA3E4F}" type="parTrans" cxnId="{F9082E67-050D-4574-87B0-517FD3B19A02}">
      <dgm:prSet/>
      <dgm:spPr/>
      <dgm:t>
        <a:bodyPr/>
        <a:lstStyle/>
        <a:p>
          <a:pPr algn="ctr"/>
          <a:endParaRPr lang="en-US"/>
        </a:p>
      </dgm:t>
    </dgm:pt>
    <dgm:pt modelId="{1F51286F-8A33-4C99-9633-F94521723BA7}" type="sibTrans" cxnId="{F9082E67-050D-4574-87B0-517FD3B19A02}">
      <dgm:prSet/>
      <dgm:spPr/>
      <dgm:t>
        <a:bodyPr/>
        <a:lstStyle/>
        <a:p>
          <a:pPr algn="ctr"/>
          <a:endParaRPr lang="en-US"/>
        </a:p>
      </dgm:t>
    </dgm:pt>
    <dgm:pt modelId="{CBF76C3F-D366-41A7-BF40-AC15DFD9B82D}">
      <dgm:prSet phldrT="[Text]"/>
      <dgm:spPr/>
      <dgm:t>
        <a:bodyPr/>
        <a:lstStyle/>
        <a:p>
          <a:pPr algn="ctr"/>
          <a:r>
            <a:rPr lang="en-US"/>
            <a:t>Influencing the Field</a:t>
          </a:r>
        </a:p>
      </dgm:t>
    </dgm:pt>
    <dgm:pt modelId="{633D2B7D-107D-4975-B69F-6E982E2878DB}" type="parTrans" cxnId="{D28114CF-280F-4D5F-B35F-DBFD285D1E4A}">
      <dgm:prSet/>
      <dgm:spPr/>
      <dgm:t>
        <a:bodyPr/>
        <a:lstStyle/>
        <a:p>
          <a:pPr algn="ctr"/>
          <a:endParaRPr lang="en-US"/>
        </a:p>
      </dgm:t>
    </dgm:pt>
    <dgm:pt modelId="{01E1A62D-B493-4061-A584-C6EB16C8A7A8}" type="sibTrans" cxnId="{D28114CF-280F-4D5F-B35F-DBFD285D1E4A}">
      <dgm:prSet/>
      <dgm:spPr/>
      <dgm:t>
        <a:bodyPr/>
        <a:lstStyle/>
        <a:p>
          <a:pPr algn="ctr"/>
          <a:endParaRPr lang="en-US"/>
        </a:p>
      </dgm:t>
    </dgm:pt>
    <dgm:pt modelId="{10FEC18C-72F8-4180-97CF-66C91D268DA7}" type="pres">
      <dgm:prSet presAssocID="{F4EE8B4B-2CAF-4EF8-9739-5C1B3C6192EA}" presName="cycle" presStyleCnt="0">
        <dgm:presLayoutVars>
          <dgm:dir/>
          <dgm:resizeHandles val="exact"/>
        </dgm:presLayoutVars>
      </dgm:prSet>
      <dgm:spPr/>
      <dgm:t>
        <a:bodyPr/>
        <a:lstStyle/>
        <a:p>
          <a:endParaRPr lang="en-US"/>
        </a:p>
      </dgm:t>
    </dgm:pt>
    <dgm:pt modelId="{C74684EB-472A-43E7-9A38-D0CF27EC179A}" type="pres">
      <dgm:prSet presAssocID="{6261A7D5-169F-4FAE-A4CC-951C1EF1B3EE}" presName="node" presStyleLbl="node1" presStyleIdx="0" presStyleCnt="5">
        <dgm:presLayoutVars>
          <dgm:bulletEnabled val="1"/>
        </dgm:presLayoutVars>
      </dgm:prSet>
      <dgm:spPr/>
      <dgm:t>
        <a:bodyPr/>
        <a:lstStyle/>
        <a:p>
          <a:endParaRPr lang="en-US"/>
        </a:p>
      </dgm:t>
    </dgm:pt>
    <dgm:pt modelId="{6EAE2DB0-AEAC-4716-9283-39B8D01D3E09}" type="pres">
      <dgm:prSet presAssocID="{D93D0B35-0CE6-4103-8729-0275D9F88323}" presName="sibTrans" presStyleLbl="sibTrans2D1" presStyleIdx="0" presStyleCnt="5"/>
      <dgm:spPr/>
      <dgm:t>
        <a:bodyPr/>
        <a:lstStyle/>
        <a:p>
          <a:endParaRPr lang="en-US"/>
        </a:p>
      </dgm:t>
    </dgm:pt>
    <dgm:pt modelId="{AA755274-1662-48E6-B154-248D403E527D}" type="pres">
      <dgm:prSet presAssocID="{D93D0B35-0CE6-4103-8729-0275D9F88323}" presName="connectorText" presStyleLbl="sibTrans2D1" presStyleIdx="0" presStyleCnt="5"/>
      <dgm:spPr/>
      <dgm:t>
        <a:bodyPr/>
        <a:lstStyle/>
        <a:p>
          <a:endParaRPr lang="en-US"/>
        </a:p>
      </dgm:t>
    </dgm:pt>
    <dgm:pt modelId="{4AA07869-D707-4910-9B68-A8512C17AFD6}" type="pres">
      <dgm:prSet presAssocID="{ADF26718-A27F-4911-8AA0-49568B115F99}" presName="node" presStyleLbl="node1" presStyleIdx="1" presStyleCnt="5">
        <dgm:presLayoutVars>
          <dgm:bulletEnabled val="1"/>
        </dgm:presLayoutVars>
      </dgm:prSet>
      <dgm:spPr/>
      <dgm:t>
        <a:bodyPr/>
        <a:lstStyle/>
        <a:p>
          <a:endParaRPr lang="en-US"/>
        </a:p>
      </dgm:t>
    </dgm:pt>
    <dgm:pt modelId="{A435E5A6-D140-4DA6-AD27-1D3B86306D29}" type="pres">
      <dgm:prSet presAssocID="{D9831432-5FA3-44F6-9897-00096C762CC2}" presName="sibTrans" presStyleLbl="sibTrans2D1" presStyleIdx="1" presStyleCnt="5"/>
      <dgm:spPr/>
      <dgm:t>
        <a:bodyPr/>
        <a:lstStyle/>
        <a:p>
          <a:endParaRPr lang="en-US"/>
        </a:p>
      </dgm:t>
    </dgm:pt>
    <dgm:pt modelId="{4FB73B49-0777-4050-BEC8-EFEF98979088}" type="pres">
      <dgm:prSet presAssocID="{D9831432-5FA3-44F6-9897-00096C762CC2}" presName="connectorText" presStyleLbl="sibTrans2D1" presStyleIdx="1" presStyleCnt="5"/>
      <dgm:spPr/>
      <dgm:t>
        <a:bodyPr/>
        <a:lstStyle/>
        <a:p>
          <a:endParaRPr lang="en-US"/>
        </a:p>
      </dgm:t>
    </dgm:pt>
    <dgm:pt modelId="{B5E1ED97-AF19-4336-8B6E-981EEB6D9625}" type="pres">
      <dgm:prSet presAssocID="{17A8A104-9D00-473D-A5B4-4BC2A68C1A54}" presName="node" presStyleLbl="node1" presStyleIdx="2" presStyleCnt="5">
        <dgm:presLayoutVars>
          <dgm:bulletEnabled val="1"/>
        </dgm:presLayoutVars>
      </dgm:prSet>
      <dgm:spPr/>
      <dgm:t>
        <a:bodyPr/>
        <a:lstStyle/>
        <a:p>
          <a:endParaRPr lang="en-US"/>
        </a:p>
      </dgm:t>
    </dgm:pt>
    <dgm:pt modelId="{88438FC5-686E-4EF2-8E22-BFD10DC0E9E1}" type="pres">
      <dgm:prSet presAssocID="{8A358112-B417-4891-ACEF-D0BBEFB86DCB}" presName="sibTrans" presStyleLbl="sibTrans2D1" presStyleIdx="2" presStyleCnt="5"/>
      <dgm:spPr/>
      <dgm:t>
        <a:bodyPr/>
        <a:lstStyle/>
        <a:p>
          <a:endParaRPr lang="en-US"/>
        </a:p>
      </dgm:t>
    </dgm:pt>
    <dgm:pt modelId="{0675B0F6-8CE0-4A5B-AE39-F7BFBC804629}" type="pres">
      <dgm:prSet presAssocID="{8A358112-B417-4891-ACEF-D0BBEFB86DCB}" presName="connectorText" presStyleLbl="sibTrans2D1" presStyleIdx="2" presStyleCnt="5"/>
      <dgm:spPr/>
      <dgm:t>
        <a:bodyPr/>
        <a:lstStyle/>
        <a:p>
          <a:endParaRPr lang="en-US"/>
        </a:p>
      </dgm:t>
    </dgm:pt>
    <dgm:pt modelId="{A9E5BB9F-117D-4350-A58F-DAAA02621D63}" type="pres">
      <dgm:prSet presAssocID="{EC251F1E-3213-408F-B12D-5DD367BD5947}" presName="node" presStyleLbl="node1" presStyleIdx="3" presStyleCnt="5">
        <dgm:presLayoutVars>
          <dgm:bulletEnabled val="1"/>
        </dgm:presLayoutVars>
      </dgm:prSet>
      <dgm:spPr/>
      <dgm:t>
        <a:bodyPr/>
        <a:lstStyle/>
        <a:p>
          <a:endParaRPr lang="en-US"/>
        </a:p>
      </dgm:t>
    </dgm:pt>
    <dgm:pt modelId="{40FE3619-AA6C-4977-A97B-B19F5EB45A77}" type="pres">
      <dgm:prSet presAssocID="{1F51286F-8A33-4C99-9633-F94521723BA7}" presName="sibTrans" presStyleLbl="sibTrans2D1" presStyleIdx="3" presStyleCnt="5"/>
      <dgm:spPr/>
      <dgm:t>
        <a:bodyPr/>
        <a:lstStyle/>
        <a:p>
          <a:endParaRPr lang="en-US"/>
        </a:p>
      </dgm:t>
    </dgm:pt>
    <dgm:pt modelId="{6D7FA8C0-6B4F-4180-BB68-88B2E591494B}" type="pres">
      <dgm:prSet presAssocID="{1F51286F-8A33-4C99-9633-F94521723BA7}" presName="connectorText" presStyleLbl="sibTrans2D1" presStyleIdx="3" presStyleCnt="5"/>
      <dgm:spPr/>
      <dgm:t>
        <a:bodyPr/>
        <a:lstStyle/>
        <a:p>
          <a:endParaRPr lang="en-US"/>
        </a:p>
      </dgm:t>
    </dgm:pt>
    <dgm:pt modelId="{13465E87-5C3B-472C-83A5-F4CC98573984}" type="pres">
      <dgm:prSet presAssocID="{CBF76C3F-D366-41A7-BF40-AC15DFD9B82D}" presName="node" presStyleLbl="node1" presStyleIdx="4" presStyleCnt="5">
        <dgm:presLayoutVars>
          <dgm:bulletEnabled val="1"/>
        </dgm:presLayoutVars>
      </dgm:prSet>
      <dgm:spPr/>
      <dgm:t>
        <a:bodyPr/>
        <a:lstStyle/>
        <a:p>
          <a:endParaRPr lang="en-US"/>
        </a:p>
      </dgm:t>
    </dgm:pt>
    <dgm:pt modelId="{9F409EDB-EB1A-4958-9216-62373A8639E1}" type="pres">
      <dgm:prSet presAssocID="{01E1A62D-B493-4061-A584-C6EB16C8A7A8}" presName="sibTrans" presStyleLbl="sibTrans2D1" presStyleIdx="4" presStyleCnt="5"/>
      <dgm:spPr/>
      <dgm:t>
        <a:bodyPr/>
        <a:lstStyle/>
        <a:p>
          <a:endParaRPr lang="en-US"/>
        </a:p>
      </dgm:t>
    </dgm:pt>
    <dgm:pt modelId="{86B06BA4-7022-4464-92BB-B414E3B2E669}" type="pres">
      <dgm:prSet presAssocID="{01E1A62D-B493-4061-A584-C6EB16C8A7A8}" presName="connectorText" presStyleLbl="sibTrans2D1" presStyleIdx="4" presStyleCnt="5"/>
      <dgm:spPr/>
      <dgm:t>
        <a:bodyPr/>
        <a:lstStyle/>
        <a:p>
          <a:endParaRPr lang="en-US"/>
        </a:p>
      </dgm:t>
    </dgm:pt>
  </dgm:ptLst>
  <dgm:cxnLst>
    <dgm:cxn modelId="{D49AD9BD-CEE9-4A78-A6F5-0A8BE971530F}" type="presOf" srcId="{D93D0B35-0CE6-4103-8729-0275D9F88323}" destId="{6EAE2DB0-AEAC-4716-9283-39B8D01D3E09}" srcOrd="0" destOrd="0" presId="urn:microsoft.com/office/officeart/2005/8/layout/cycle2"/>
    <dgm:cxn modelId="{ACE83440-E25F-469A-9E1C-ED7AAAD142B2}" type="presOf" srcId="{6261A7D5-169F-4FAE-A4CC-951C1EF1B3EE}" destId="{C74684EB-472A-43E7-9A38-D0CF27EC179A}" srcOrd="0" destOrd="0" presId="urn:microsoft.com/office/officeart/2005/8/layout/cycle2"/>
    <dgm:cxn modelId="{D28114CF-280F-4D5F-B35F-DBFD285D1E4A}" srcId="{F4EE8B4B-2CAF-4EF8-9739-5C1B3C6192EA}" destId="{CBF76C3F-D366-41A7-BF40-AC15DFD9B82D}" srcOrd="4" destOrd="0" parTransId="{633D2B7D-107D-4975-B69F-6E982E2878DB}" sibTransId="{01E1A62D-B493-4061-A584-C6EB16C8A7A8}"/>
    <dgm:cxn modelId="{3E11DCB2-52FA-478D-8942-3F224B53BCEF}" srcId="{F4EE8B4B-2CAF-4EF8-9739-5C1B3C6192EA}" destId="{ADF26718-A27F-4911-8AA0-49568B115F99}" srcOrd="1" destOrd="0" parTransId="{96CFEEB8-44B2-4601-8F35-A5A5BAE293BB}" sibTransId="{D9831432-5FA3-44F6-9897-00096C762CC2}"/>
    <dgm:cxn modelId="{F61684C4-ED6E-4FA2-BF99-8DD2FEE81291}" type="presOf" srcId="{D93D0B35-0CE6-4103-8729-0275D9F88323}" destId="{AA755274-1662-48E6-B154-248D403E527D}" srcOrd="1" destOrd="0" presId="urn:microsoft.com/office/officeart/2005/8/layout/cycle2"/>
    <dgm:cxn modelId="{287B910A-F6B5-4139-B0B7-074327CE15E4}" type="presOf" srcId="{CBF76C3F-D366-41A7-BF40-AC15DFD9B82D}" destId="{13465E87-5C3B-472C-83A5-F4CC98573984}" srcOrd="0" destOrd="0" presId="urn:microsoft.com/office/officeart/2005/8/layout/cycle2"/>
    <dgm:cxn modelId="{35A0550F-D5E3-4837-99B0-A43CDA2D42C5}" type="presOf" srcId="{1F51286F-8A33-4C99-9633-F94521723BA7}" destId="{40FE3619-AA6C-4977-A97B-B19F5EB45A77}" srcOrd="0" destOrd="0" presId="urn:microsoft.com/office/officeart/2005/8/layout/cycle2"/>
    <dgm:cxn modelId="{025074E6-BCEE-4973-B78C-5704A576FD33}" type="presOf" srcId="{1F51286F-8A33-4C99-9633-F94521723BA7}" destId="{6D7FA8C0-6B4F-4180-BB68-88B2E591494B}" srcOrd="1" destOrd="0" presId="urn:microsoft.com/office/officeart/2005/8/layout/cycle2"/>
    <dgm:cxn modelId="{EBE30B25-DE5F-437C-B76F-D289048C5CC0}" type="presOf" srcId="{F4EE8B4B-2CAF-4EF8-9739-5C1B3C6192EA}" destId="{10FEC18C-72F8-4180-97CF-66C91D268DA7}" srcOrd="0" destOrd="0" presId="urn:microsoft.com/office/officeart/2005/8/layout/cycle2"/>
    <dgm:cxn modelId="{D772D6FD-3D22-4EBD-8FDA-8190F342B8D2}" type="presOf" srcId="{ADF26718-A27F-4911-8AA0-49568B115F99}" destId="{4AA07869-D707-4910-9B68-A8512C17AFD6}" srcOrd="0" destOrd="0" presId="urn:microsoft.com/office/officeart/2005/8/layout/cycle2"/>
    <dgm:cxn modelId="{095D02EB-280A-41DC-AA1D-D3F63F925FEB}" type="presOf" srcId="{01E1A62D-B493-4061-A584-C6EB16C8A7A8}" destId="{9F409EDB-EB1A-4958-9216-62373A8639E1}" srcOrd="0" destOrd="0" presId="urn:microsoft.com/office/officeart/2005/8/layout/cycle2"/>
    <dgm:cxn modelId="{F9082E67-050D-4574-87B0-517FD3B19A02}" srcId="{F4EE8B4B-2CAF-4EF8-9739-5C1B3C6192EA}" destId="{EC251F1E-3213-408F-B12D-5DD367BD5947}" srcOrd="3" destOrd="0" parTransId="{1C268D89-796B-4417-8684-F77A1BCA3E4F}" sibTransId="{1F51286F-8A33-4C99-9633-F94521723BA7}"/>
    <dgm:cxn modelId="{37739C93-3A66-4548-87B9-169E16A14694}" type="presOf" srcId="{01E1A62D-B493-4061-A584-C6EB16C8A7A8}" destId="{86B06BA4-7022-4464-92BB-B414E3B2E669}" srcOrd="1" destOrd="0" presId="urn:microsoft.com/office/officeart/2005/8/layout/cycle2"/>
    <dgm:cxn modelId="{D18E6C22-9863-4F2D-B284-A269C658DDED}" type="presOf" srcId="{EC251F1E-3213-408F-B12D-5DD367BD5947}" destId="{A9E5BB9F-117D-4350-A58F-DAAA02621D63}" srcOrd="0" destOrd="0" presId="urn:microsoft.com/office/officeart/2005/8/layout/cycle2"/>
    <dgm:cxn modelId="{6E7AA5DF-0753-4680-8DF4-60F7BD18DC11}" type="presOf" srcId="{17A8A104-9D00-473D-A5B4-4BC2A68C1A54}" destId="{B5E1ED97-AF19-4336-8B6E-981EEB6D9625}" srcOrd="0" destOrd="0" presId="urn:microsoft.com/office/officeart/2005/8/layout/cycle2"/>
    <dgm:cxn modelId="{98308627-BDF5-4B75-8D77-9881B0F23DDA}" type="presOf" srcId="{8A358112-B417-4891-ACEF-D0BBEFB86DCB}" destId="{88438FC5-686E-4EF2-8E22-BFD10DC0E9E1}" srcOrd="0" destOrd="0" presId="urn:microsoft.com/office/officeart/2005/8/layout/cycle2"/>
    <dgm:cxn modelId="{4E772958-6E83-4D4A-A262-DD0FE731D18E}" srcId="{F4EE8B4B-2CAF-4EF8-9739-5C1B3C6192EA}" destId="{6261A7D5-169F-4FAE-A4CC-951C1EF1B3EE}" srcOrd="0" destOrd="0" parTransId="{B567ADB1-2659-4444-BA79-4E80AD6A0F3F}" sibTransId="{D93D0B35-0CE6-4103-8729-0275D9F88323}"/>
    <dgm:cxn modelId="{F16C46B8-1B7B-4FE0-B00E-DC0B5AAA5EE3}" type="presOf" srcId="{8A358112-B417-4891-ACEF-D0BBEFB86DCB}" destId="{0675B0F6-8CE0-4A5B-AE39-F7BFBC804629}" srcOrd="1" destOrd="0" presId="urn:microsoft.com/office/officeart/2005/8/layout/cycle2"/>
    <dgm:cxn modelId="{9EECA548-FEE9-440B-9AE6-C6BE8C5C19DE}" srcId="{F4EE8B4B-2CAF-4EF8-9739-5C1B3C6192EA}" destId="{17A8A104-9D00-473D-A5B4-4BC2A68C1A54}" srcOrd="2" destOrd="0" parTransId="{A8EF3B4D-1EC1-4544-BEE5-60785032548C}" sibTransId="{8A358112-B417-4891-ACEF-D0BBEFB86DCB}"/>
    <dgm:cxn modelId="{562C07F5-627F-4D31-BEE7-B8A01630B03C}" type="presOf" srcId="{D9831432-5FA3-44F6-9897-00096C762CC2}" destId="{A435E5A6-D140-4DA6-AD27-1D3B86306D29}" srcOrd="0" destOrd="0" presId="urn:microsoft.com/office/officeart/2005/8/layout/cycle2"/>
    <dgm:cxn modelId="{16C74D13-9558-4161-8B01-9A6569D530C1}" type="presOf" srcId="{D9831432-5FA3-44F6-9897-00096C762CC2}" destId="{4FB73B49-0777-4050-BEC8-EFEF98979088}" srcOrd="1" destOrd="0" presId="urn:microsoft.com/office/officeart/2005/8/layout/cycle2"/>
    <dgm:cxn modelId="{29BCF309-F7B9-4B19-A8BC-4D39BFF38AC2}" type="presParOf" srcId="{10FEC18C-72F8-4180-97CF-66C91D268DA7}" destId="{C74684EB-472A-43E7-9A38-D0CF27EC179A}" srcOrd="0" destOrd="0" presId="urn:microsoft.com/office/officeart/2005/8/layout/cycle2"/>
    <dgm:cxn modelId="{D1F1B80C-75DD-4B1E-96E5-BAD755EA2532}" type="presParOf" srcId="{10FEC18C-72F8-4180-97CF-66C91D268DA7}" destId="{6EAE2DB0-AEAC-4716-9283-39B8D01D3E09}" srcOrd="1" destOrd="0" presId="urn:microsoft.com/office/officeart/2005/8/layout/cycle2"/>
    <dgm:cxn modelId="{25C74A74-0EC3-44BA-AA35-4A86F3D6A3FE}" type="presParOf" srcId="{6EAE2DB0-AEAC-4716-9283-39B8D01D3E09}" destId="{AA755274-1662-48E6-B154-248D403E527D}" srcOrd="0" destOrd="0" presId="urn:microsoft.com/office/officeart/2005/8/layout/cycle2"/>
    <dgm:cxn modelId="{E798539B-8E38-4821-9C57-93C323C7FF08}" type="presParOf" srcId="{10FEC18C-72F8-4180-97CF-66C91D268DA7}" destId="{4AA07869-D707-4910-9B68-A8512C17AFD6}" srcOrd="2" destOrd="0" presId="urn:microsoft.com/office/officeart/2005/8/layout/cycle2"/>
    <dgm:cxn modelId="{8D737470-E5F5-46D5-B8C5-A74D8C81F350}" type="presParOf" srcId="{10FEC18C-72F8-4180-97CF-66C91D268DA7}" destId="{A435E5A6-D140-4DA6-AD27-1D3B86306D29}" srcOrd="3" destOrd="0" presId="urn:microsoft.com/office/officeart/2005/8/layout/cycle2"/>
    <dgm:cxn modelId="{356A00FF-4D23-4911-9E10-FC7AA9EAD496}" type="presParOf" srcId="{A435E5A6-D140-4DA6-AD27-1D3B86306D29}" destId="{4FB73B49-0777-4050-BEC8-EFEF98979088}" srcOrd="0" destOrd="0" presId="urn:microsoft.com/office/officeart/2005/8/layout/cycle2"/>
    <dgm:cxn modelId="{E6183BF7-3042-4AD1-B3E5-FDD98738A888}" type="presParOf" srcId="{10FEC18C-72F8-4180-97CF-66C91D268DA7}" destId="{B5E1ED97-AF19-4336-8B6E-981EEB6D9625}" srcOrd="4" destOrd="0" presId="urn:microsoft.com/office/officeart/2005/8/layout/cycle2"/>
    <dgm:cxn modelId="{16860648-3584-42CC-AAD9-7D877C50EC7F}" type="presParOf" srcId="{10FEC18C-72F8-4180-97CF-66C91D268DA7}" destId="{88438FC5-686E-4EF2-8E22-BFD10DC0E9E1}" srcOrd="5" destOrd="0" presId="urn:microsoft.com/office/officeart/2005/8/layout/cycle2"/>
    <dgm:cxn modelId="{318ECFDF-1AB4-42EA-B2EC-8BDD4011DC73}" type="presParOf" srcId="{88438FC5-686E-4EF2-8E22-BFD10DC0E9E1}" destId="{0675B0F6-8CE0-4A5B-AE39-F7BFBC804629}" srcOrd="0" destOrd="0" presId="urn:microsoft.com/office/officeart/2005/8/layout/cycle2"/>
    <dgm:cxn modelId="{54A33AAE-561B-4053-A904-60750F2B6802}" type="presParOf" srcId="{10FEC18C-72F8-4180-97CF-66C91D268DA7}" destId="{A9E5BB9F-117D-4350-A58F-DAAA02621D63}" srcOrd="6" destOrd="0" presId="urn:microsoft.com/office/officeart/2005/8/layout/cycle2"/>
    <dgm:cxn modelId="{540059F0-AF9E-45D2-9038-3AC91AAB9934}" type="presParOf" srcId="{10FEC18C-72F8-4180-97CF-66C91D268DA7}" destId="{40FE3619-AA6C-4977-A97B-B19F5EB45A77}" srcOrd="7" destOrd="0" presId="urn:microsoft.com/office/officeart/2005/8/layout/cycle2"/>
    <dgm:cxn modelId="{A5C11E04-A47F-47EA-A659-B7FBFCEFA058}" type="presParOf" srcId="{40FE3619-AA6C-4977-A97B-B19F5EB45A77}" destId="{6D7FA8C0-6B4F-4180-BB68-88B2E591494B}" srcOrd="0" destOrd="0" presId="urn:microsoft.com/office/officeart/2005/8/layout/cycle2"/>
    <dgm:cxn modelId="{A17DFD90-9892-48C1-87D8-4415409389E6}" type="presParOf" srcId="{10FEC18C-72F8-4180-97CF-66C91D268DA7}" destId="{13465E87-5C3B-472C-83A5-F4CC98573984}" srcOrd="8" destOrd="0" presId="urn:microsoft.com/office/officeart/2005/8/layout/cycle2"/>
    <dgm:cxn modelId="{B7CB6FB0-ADAC-400D-AA93-D75860D24A50}" type="presParOf" srcId="{10FEC18C-72F8-4180-97CF-66C91D268DA7}" destId="{9F409EDB-EB1A-4958-9216-62373A8639E1}" srcOrd="9" destOrd="0" presId="urn:microsoft.com/office/officeart/2005/8/layout/cycle2"/>
    <dgm:cxn modelId="{0865E2A5-0200-45F9-B6EF-2045FD63EC60}" type="presParOf" srcId="{9F409EDB-EB1A-4958-9216-62373A8639E1}" destId="{86B06BA4-7022-4464-92BB-B414E3B2E669}"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4684EB-472A-43E7-9A38-D0CF27EC179A}">
      <dsp:nvSpPr>
        <dsp:cNvPr id="0" name=""/>
        <dsp:cNvSpPr/>
      </dsp:nvSpPr>
      <dsp:spPr>
        <a:xfrm>
          <a:off x="2559694" y="675"/>
          <a:ext cx="824210" cy="824210"/>
        </a:xfrm>
        <a:prstGeom prst="ellipse">
          <a:avLst/>
        </a:prstGeom>
        <a:gradFill rotWithShape="0">
          <a:gsLst>
            <a:gs pos="0">
              <a:schemeClr val="accent2">
                <a:shade val="80000"/>
                <a:hueOff val="0"/>
                <a:satOff val="0"/>
                <a:lumOff val="0"/>
                <a:alphaOff val="0"/>
                <a:satMod val="103000"/>
                <a:lumMod val="102000"/>
                <a:tint val="94000"/>
              </a:schemeClr>
            </a:gs>
            <a:gs pos="50000">
              <a:schemeClr val="accent2">
                <a:shade val="80000"/>
                <a:hueOff val="0"/>
                <a:satOff val="0"/>
                <a:lumOff val="0"/>
                <a:alphaOff val="0"/>
                <a:satMod val="110000"/>
                <a:lumMod val="100000"/>
                <a:shade val="100000"/>
              </a:schemeClr>
            </a:gs>
            <a:gs pos="100000">
              <a:schemeClr val="accent2">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Personal Leadership Development</a:t>
          </a:r>
        </a:p>
      </dsp:txBody>
      <dsp:txXfrm>
        <a:off x="2680397" y="121378"/>
        <a:ext cx="582804" cy="582804"/>
      </dsp:txXfrm>
    </dsp:sp>
    <dsp:sp modelId="{6EAE2DB0-AEAC-4716-9283-39B8D01D3E09}">
      <dsp:nvSpPr>
        <dsp:cNvPr id="0" name=""/>
        <dsp:cNvSpPr/>
      </dsp:nvSpPr>
      <dsp:spPr>
        <a:xfrm rot="2160000">
          <a:off x="3357893" y="633858"/>
          <a:ext cx="219258" cy="278170"/>
        </a:xfrm>
        <a:prstGeom prst="rightArrow">
          <a:avLst>
            <a:gd name="adj1" fmla="val 60000"/>
            <a:gd name="adj2" fmla="val 50000"/>
          </a:avLst>
        </a:prstGeom>
        <a:gradFill rotWithShape="0">
          <a:gsLst>
            <a:gs pos="0">
              <a:schemeClr val="accent2">
                <a:shade val="90000"/>
                <a:hueOff val="0"/>
                <a:satOff val="0"/>
                <a:lumOff val="0"/>
                <a:alphaOff val="0"/>
                <a:satMod val="103000"/>
                <a:lumMod val="102000"/>
                <a:tint val="94000"/>
              </a:schemeClr>
            </a:gs>
            <a:gs pos="50000">
              <a:schemeClr val="accent2">
                <a:shade val="90000"/>
                <a:hueOff val="0"/>
                <a:satOff val="0"/>
                <a:lumOff val="0"/>
                <a:alphaOff val="0"/>
                <a:satMod val="110000"/>
                <a:lumMod val="100000"/>
                <a:shade val="100000"/>
              </a:schemeClr>
            </a:gs>
            <a:gs pos="100000">
              <a:schemeClr val="accent2">
                <a:shade val="9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364174" y="670161"/>
        <a:ext cx="153481" cy="166902"/>
      </dsp:txXfrm>
    </dsp:sp>
    <dsp:sp modelId="{4AA07869-D707-4910-9B68-A8512C17AFD6}">
      <dsp:nvSpPr>
        <dsp:cNvPr id="0" name=""/>
        <dsp:cNvSpPr/>
      </dsp:nvSpPr>
      <dsp:spPr>
        <a:xfrm>
          <a:off x="3561180" y="728297"/>
          <a:ext cx="824210" cy="824210"/>
        </a:xfrm>
        <a:prstGeom prst="ellipse">
          <a:avLst/>
        </a:prstGeom>
        <a:gradFill rotWithShape="0">
          <a:gsLst>
            <a:gs pos="0">
              <a:schemeClr val="accent2">
                <a:shade val="80000"/>
                <a:hueOff val="-120354"/>
                <a:satOff val="2542"/>
                <a:lumOff val="6770"/>
                <a:alphaOff val="0"/>
                <a:satMod val="103000"/>
                <a:lumMod val="102000"/>
                <a:tint val="94000"/>
              </a:schemeClr>
            </a:gs>
            <a:gs pos="50000">
              <a:schemeClr val="accent2">
                <a:shade val="80000"/>
                <a:hueOff val="-120354"/>
                <a:satOff val="2542"/>
                <a:lumOff val="6770"/>
                <a:alphaOff val="0"/>
                <a:satMod val="110000"/>
                <a:lumMod val="100000"/>
                <a:shade val="100000"/>
              </a:schemeClr>
            </a:gs>
            <a:gs pos="100000">
              <a:schemeClr val="accent2">
                <a:shade val="80000"/>
                <a:hueOff val="-120354"/>
                <a:satOff val="2542"/>
                <a:lumOff val="677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Equity, Inclusiveness and Smart Growth Principles</a:t>
          </a:r>
        </a:p>
      </dsp:txBody>
      <dsp:txXfrm>
        <a:off x="3681883" y="849000"/>
        <a:ext cx="582804" cy="582804"/>
      </dsp:txXfrm>
    </dsp:sp>
    <dsp:sp modelId="{A435E5A6-D140-4DA6-AD27-1D3B86306D29}">
      <dsp:nvSpPr>
        <dsp:cNvPr id="0" name=""/>
        <dsp:cNvSpPr/>
      </dsp:nvSpPr>
      <dsp:spPr>
        <a:xfrm rot="6480000">
          <a:off x="3674307" y="1584073"/>
          <a:ext cx="219258" cy="278170"/>
        </a:xfrm>
        <a:prstGeom prst="rightArrow">
          <a:avLst>
            <a:gd name="adj1" fmla="val 60000"/>
            <a:gd name="adj2" fmla="val 50000"/>
          </a:avLst>
        </a:prstGeom>
        <a:gradFill rotWithShape="0">
          <a:gsLst>
            <a:gs pos="0">
              <a:schemeClr val="accent2">
                <a:shade val="90000"/>
                <a:hueOff val="-120363"/>
                <a:satOff val="604"/>
                <a:lumOff val="6065"/>
                <a:alphaOff val="0"/>
                <a:satMod val="103000"/>
                <a:lumMod val="102000"/>
                <a:tint val="94000"/>
              </a:schemeClr>
            </a:gs>
            <a:gs pos="50000">
              <a:schemeClr val="accent2">
                <a:shade val="90000"/>
                <a:hueOff val="-120363"/>
                <a:satOff val="604"/>
                <a:lumOff val="6065"/>
                <a:alphaOff val="0"/>
                <a:satMod val="110000"/>
                <a:lumMod val="100000"/>
                <a:shade val="100000"/>
              </a:schemeClr>
            </a:gs>
            <a:gs pos="100000">
              <a:schemeClr val="accent2">
                <a:shade val="90000"/>
                <a:hueOff val="-120363"/>
                <a:satOff val="604"/>
                <a:lumOff val="60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3717359" y="1608428"/>
        <a:ext cx="153481" cy="166902"/>
      </dsp:txXfrm>
    </dsp:sp>
    <dsp:sp modelId="{B5E1ED97-AF19-4336-8B6E-981EEB6D9625}">
      <dsp:nvSpPr>
        <dsp:cNvPr id="0" name=""/>
        <dsp:cNvSpPr/>
      </dsp:nvSpPr>
      <dsp:spPr>
        <a:xfrm>
          <a:off x="3178647" y="1905614"/>
          <a:ext cx="824210" cy="824210"/>
        </a:xfrm>
        <a:prstGeom prst="ellipse">
          <a:avLst/>
        </a:prstGeom>
        <a:gradFill rotWithShape="0">
          <a:gsLst>
            <a:gs pos="0">
              <a:schemeClr val="accent2">
                <a:shade val="80000"/>
                <a:hueOff val="-240708"/>
                <a:satOff val="5083"/>
                <a:lumOff val="13541"/>
                <a:alphaOff val="0"/>
                <a:satMod val="103000"/>
                <a:lumMod val="102000"/>
                <a:tint val="94000"/>
              </a:schemeClr>
            </a:gs>
            <a:gs pos="50000">
              <a:schemeClr val="accent2">
                <a:shade val="80000"/>
                <a:hueOff val="-240708"/>
                <a:satOff val="5083"/>
                <a:lumOff val="13541"/>
                <a:alphaOff val="0"/>
                <a:satMod val="110000"/>
                <a:lumMod val="100000"/>
                <a:shade val="100000"/>
              </a:schemeClr>
            </a:gs>
            <a:gs pos="100000">
              <a:schemeClr val="accent2">
                <a:shade val="80000"/>
                <a:hueOff val="-240708"/>
                <a:satOff val="5083"/>
                <a:lumOff val="1354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Learning the Constructs of Race and Racialization</a:t>
          </a:r>
        </a:p>
      </dsp:txBody>
      <dsp:txXfrm>
        <a:off x="3299350" y="2026317"/>
        <a:ext cx="582804" cy="582804"/>
      </dsp:txXfrm>
    </dsp:sp>
    <dsp:sp modelId="{88438FC5-686E-4EF2-8E22-BFD10DC0E9E1}">
      <dsp:nvSpPr>
        <dsp:cNvPr id="0" name=""/>
        <dsp:cNvSpPr/>
      </dsp:nvSpPr>
      <dsp:spPr>
        <a:xfrm rot="10800000">
          <a:off x="2868376" y="2178634"/>
          <a:ext cx="219258" cy="278170"/>
        </a:xfrm>
        <a:prstGeom prst="rightArrow">
          <a:avLst>
            <a:gd name="adj1" fmla="val 60000"/>
            <a:gd name="adj2" fmla="val 50000"/>
          </a:avLst>
        </a:prstGeom>
        <a:gradFill rotWithShape="0">
          <a:gsLst>
            <a:gs pos="0">
              <a:schemeClr val="accent2">
                <a:shade val="90000"/>
                <a:hueOff val="-240726"/>
                <a:satOff val="1208"/>
                <a:lumOff val="12130"/>
                <a:alphaOff val="0"/>
                <a:satMod val="103000"/>
                <a:lumMod val="102000"/>
                <a:tint val="94000"/>
              </a:schemeClr>
            </a:gs>
            <a:gs pos="50000">
              <a:schemeClr val="accent2">
                <a:shade val="90000"/>
                <a:hueOff val="-240726"/>
                <a:satOff val="1208"/>
                <a:lumOff val="12130"/>
                <a:alphaOff val="0"/>
                <a:satMod val="110000"/>
                <a:lumMod val="100000"/>
                <a:shade val="100000"/>
              </a:schemeClr>
            </a:gs>
            <a:gs pos="100000">
              <a:schemeClr val="accent2">
                <a:shade val="90000"/>
                <a:hueOff val="-240726"/>
                <a:satOff val="1208"/>
                <a:lumOff val="1213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2934153" y="2234268"/>
        <a:ext cx="153481" cy="166902"/>
      </dsp:txXfrm>
    </dsp:sp>
    <dsp:sp modelId="{A9E5BB9F-117D-4350-A58F-DAAA02621D63}">
      <dsp:nvSpPr>
        <dsp:cNvPr id="0" name=""/>
        <dsp:cNvSpPr/>
      </dsp:nvSpPr>
      <dsp:spPr>
        <a:xfrm>
          <a:off x="1940742" y="1905614"/>
          <a:ext cx="824210" cy="824210"/>
        </a:xfrm>
        <a:prstGeom prst="ellipse">
          <a:avLst/>
        </a:prstGeom>
        <a:gradFill rotWithShape="0">
          <a:gsLst>
            <a:gs pos="0">
              <a:schemeClr val="accent2">
                <a:shade val="80000"/>
                <a:hueOff val="-361061"/>
                <a:satOff val="7625"/>
                <a:lumOff val="20311"/>
                <a:alphaOff val="0"/>
                <a:satMod val="103000"/>
                <a:lumMod val="102000"/>
                <a:tint val="94000"/>
              </a:schemeClr>
            </a:gs>
            <a:gs pos="50000">
              <a:schemeClr val="accent2">
                <a:shade val="80000"/>
                <a:hueOff val="-361061"/>
                <a:satOff val="7625"/>
                <a:lumOff val="20311"/>
                <a:alphaOff val="0"/>
                <a:satMod val="110000"/>
                <a:lumMod val="100000"/>
                <a:shade val="100000"/>
              </a:schemeClr>
            </a:gs>
            <a:gs pos="100000">
              <a:schemeClr val="accent2">
                <a:shade val="80000"/>
                <a:hueOff val="-361061"/>
                <a:satOff val="7625"/>
                <a:lumOff val="2031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Grantmaking to Increase Equity in Philanthropy</a:t>
          </a:r>
        </a:p>
      </dsp:txBody>
      <dsp:txXfrm>
        <a:off x="2061445" y="2026317"/>
        <a:ext cx="582804" cy="582804"/>
      </dsp:txXfrm>
    </dsp:sp>
    <dsp:sp modelId="{40FE3619-AA6C-4977-A97B-B19F5EB45A77}">
      <dsp:nvSpPr>
        <dsp:cNvPr id="0" name=""/>
        <dsp:cNvSpPr/>
      </dsp:nvSpPr>
      <dsp:spPr>
        <a:xfrm rot="15120000">
          <a:off x="2053869" y="1595877"/>
          <a:ext cx="219258" cy="278170"/>
        </a:xfrm>
        <a:prstGeom prst="rightArrow">
          <a:avLst>
            <a:gd name="adj1" fmla="val 60000"/>
            <a:gd name="adj2" fmla="val 50000"/>
          </a:avLst>
        </a:prstGeom>
        <a:gradFill rotWithShape="0">
          <a:gsLst>
            <a:gs pos="0">
              <a:schemeClr val="accent2">
                <a:shade val="90000"/>
                <a:hueOff val="-361089"/>
                <a:satOff val="1812"/>
                <a:lumOff val="18194"/>
                <a:alphaOff val="0"/>
                <a:satMod val="103000"/>
                <a:lumMod val="102000"/>
                <a:tint val="94000"/>
              </a:schemeClr>
            </a:gs>
            <a:gs pos="50000">
              <a:schemeClr val="accent2">
                <a:shade val="90000"/>
                <a:hueOff val="-361089"/>
                <a:satOff val="1812"/>
                <a:lumOff val="18194"/>
                <a:alphaOff val="0"/>
                <a:satMod val="110000"/>
                <a:lumMod val="100000"/>
                <a:shade val="100000"/>
              </a:schemeClr>
            </a:gs>
            <a:gs pos="100000">
              <a:schemeClr val="accent2">
                <a:shade val="90000"/>
                <a:hueOff val="-361089"/>
                <a:satOff val="1812"/>
                <a:lumOff val="1819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2096921" y="1682790"/>
        <a:ext cx="153481" cy="166902"/>
      </dsp:txXfrm>
    </dsp:sp>
    <dsp:sp modelId="{13465E87-5C3B-472C-83A5-F4CC98573984}">
      <dsp:nvSpPr>
        <dsp:cNvPr id="0" name=""/>
        <dsp:cNvSpPr/>
      </dsp:nvSpPr>
      <dsp:spPr>
        <a:xfrm>
          <a:off x="1558209" y="728297"/>
          <a:ext cx="824210" cy="824210"/>
        </a:xfrm>
        <a:prstGeom prst="ellipse">
          <a:avLst/>
        </a:prstGeom>
        <a:gradFill rotWithShape="0">
          <a:gsLst>
            <a:gs pos="0">
              <a:schemeClr val="accent2">
                <a:shade val="80000"/>
                <a:hueOff val="-481415"/>
                <a:satOff val="10166"/>
                <a:lumOff val="27081"/>
                <a:alphaOff val="0"/>
                <a:satMod val="103000"/>
                <a:lumMod val="102000"/>
                <a:tint val="94000"/>
              </a:schemeClr>
            </a:gs>
            <a:gs pos="50000">
              <a:schemeClr val="accent2">
                <a:shade val="80000"/>
                <a:hueOff val="-481415"/>
                <a:satOff val="10166"/>
                <a:lumOff val="27081"/>
                <a:alphaOff val="0"/>
                <a:satMod val="110000"/>
                <a:lumMod val="100000"/>
                <a:shade val="100000"/>
              </a:schemeClr>
            </a:gs>
            <a:gs pos="100000">
              <a:schemeClr val="accent2">
                <a:shade val="80000"/>
                <a:hueOff val="-481415"/>
                <a:satOff val="10166"/>
                <a:lumOff val="2708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Influencing the Field</a:t>
          </a:r>
        </a:p>
      </dsp:txBody>
      <dsp:txXfrm>
        <a:off x="1678912" y="849000"/>
        <a:ext cx="582804" cy="582804"/>
      </dsp:txXfrm>
    </dsp:sp>
    <dsp:sp modelId="{9F409EDB-EB1A-4958-9216-62373A8639E1}">
      <dsp:nvSpPr>
        <dsp:cNvPr id="0" name=""/>
        <dsp:cNvSpPr/>
      </dsp:nvSpPr>
      <dsp:spPr>
        <a:xfrm rot="19440000">
          <a:off x="2356407" y="641153"/>
          <a:ext cx="219258" cy="278170"/>
        </a:xfrm>
        <a:prstGeom prst="rightArrow">
          <a:avLst>
            <a:gd name="adj1" fmla="val 60000"/>
            <a:gd name="adj2" fmla="val 50000"/>
          </a:avLst>
        </a:prstGeom>
        <a:gradFill rotWithShape="0">
          <a:gsLst>
            <a:gs pos="0">
              <a:schemeClr val="accent2">
                <a:shade val="90000"/>
                <a:hueOff val="-481452"/>
                <a:satOff val="2416"/>
                <a:lumOff val="24259"/>
                <a:alphaOff val="0"/>
                <a:satMod val="103000"/>
                <a:lumMod val="102000"/>
                <a:tint val="94000"/>
              </a:schemeClr>
            </a:gs>
            <a:gs pos="50000">
              <a:schemeClr val="accent2">
                <a:shade val="90000"/>
                <a:hueOff val="-481452"/>
                <a:satOff val="2416"/>
                <a:lumOff val="24259"/>
                <a:alphaOff val="0"/>
                <a:satMod val="110000"/>
                <a:lumMod val="100000"/>
                <a:shade val="100000"/>
              </a:schemeClr>
            </a:gs>
            <a:gs pos="100000">
              <a:schemeClr val="accent2">
                <a:shade val="90000"/>
                <a:hueOff val="-481452"/>
                <a:satOff val="2416"/>
                <a:lumOff val="2425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362688" y="716118"/>
        <a:ext cx="153481" cy="16690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Content Outline PLACES Overview &amp; Description Mission &amp; CommitmentHighlights of the ProgramKey PrioritiesEducational ObjectivesStrategic Goals &amp; ObjectivesAction Steps &amp; ResourcesSWOT AnalysisPerformance IndicatorsCompetitive Analysis &amp; AdvantageFinancial OverviewSummary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1B9FE7-3539-4A1C-B50F-1B582335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Places fellowship five-year strategic plan</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Places fellowship  five-year          strategic plan</dc:title>
  <dc:subject/>
  <dc:creator>Submitted by Dion Cartwright</dc:creator>
  <cp:keywords/>
  <dc:description/>
  <cp:lastModifiedBy>Dion Cartwright</cp:lastModifiedBy>
  <cp:revision>4</cp:revision>
  <cp:lastPrinted>2018-08-29T17:08:00Z</cp:lastPrinted>
  <dcterms:created xsi:type="dcterms:W3CDTF">2019-05-24T13:08:00Z</dcterms:created>
  <dcterms:modified xsi:type="dcterms:W3CDTF">2019-05-24T13:22:00Z</dcterms:modified>
  <cp:category>TFN, Director of Equitable Initiatives &amp; Leadership Development</cp:category>
</cp:coreProperties>
</file>