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490F" w14:textId="3CC76EAF" w:rsidR="00BD12AC" w:rsidRDefault="00BD12AC" w:rsidP="001B4831">
      <w:pPr>
        <w:spacing w:after="0" w:line="240" w:lineRule="auto"/>
        <w:rPr>
          <w:rFonts w:ascii="Calibri" w:hAnsi="Calibri" w:cs="Calibri"/>
          <w:i/>
          <w:iCs/>
          <w:sz w:val="28"/>
          <w:szCs w:val="28"/>
        </w:rPr>
      </w:pPr>
      <w:r>
        <w:rPr>
          <w:rFonts w:ascii="Calibri" w:hAnsi="Calibri" w:cs="Calibri"/>
          <w:i/>
          <w:iCs/>
          <w:noProof/>
          <w:sz w:val="28"/>
          <w:szCs w:val="28"/>
        </w:rPr>
        <w:drawing>
          <wp:inline distT="0" distB="0" distL="0" distR="0" wp14:anchorId="49EE0D16" wp14:editId="3447CA13">
            <wp:extent cx="2009775" cy="424501"/>
            <wp:effectExtent l="0" t="0" r="0" b="0"/>
            <wp:docPr id="1658982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82513" name="Picture 16589825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6906" cy="426007"/>
                    </a:xfrm>
                    <a:prstGeom prst="rect">
                      <a:avLst/>
                    </a:prstGeom>
                  </pic:spPr>
                </pic:pic>
              </a:graphicData>
            </a:graphic>
          </wp:inline>
        </w:drawing>
      </w:r>
    </w:p>
    <w:p w14:paraId="38EE97F1" w14:textId="77777777" w:rsidR="00BD12AC" w:rsidRDefault="00BD12AC" w:rsidP="001B4831">
      <w:pPr>
        <w:spacing w:after="0" w:line="240" w:lineRule="auto"/>
        <w:rPr>
          <w:rFonts w:ascii="Calibri" w:hAnsi="Calibri" w:cs="Calibri"/>
          <w:i/>
          <w:iCs/>
          <w:sz w:val="28"/>
          <w:szCs w:val="28"/>
        </w:rPr>
      </w:pPr>
    </w:p>
    <w:p w14:paraId="155891EF" w14:textId="36AD7F04" w:rsidR="001B4831" w:rsidRPr="001B4831" w:rsidRDefault="001B4831" w:rsidP="001B4831">
      <w:pPr>
        <w:spacing w:after="0" w:line="240" w:lineRule="auto"/>
        <w:rPr>
          <w:rFonts w:ascii="Calibri" w:hAnsi="Calibri" w:cs="Calibri"/>
          <w:i/>
          <w:iCs/>
          <w:sz w:val="28"/>
          <w:szCs w:val="28"/>
        </w:rPr>
      </w:pPr>
      <w:r w:rsidRPr="001B4831">
        <w:rPr>
          <w:rFonts w:ascii="Calibri" w:hAnsi="Calibri" w:cs="Calibri"/>
          <w:i/>
          <w:iCs/>
          <w:sz w:val="28"/>
          <w:szCs w:val="28"/>
        </w:rPr>
        <w:t xml:space="preserve">The Economic Benefits of Investing </w:t>
      </w:r>
      <w:proofErr w:type="gramStart"/>
      <w:r w:rsidRPr="001B4831">
        <w:rPr>
          <w:rFonts w:ascii="Calibri" w:hAnsi="Calibri" w:cs="Calibri"/>
          <w:i/>
          <w:iCs/>
          <w:sz w:val="28"/>
          <w:szCs w:val="28"/>
        </w:rPr>
        <w:t>In</w:t>
      </w:r>
      <w:proofErr w:type="gramEnd"/>
      <w:r w:rsidRPr="001B4831">
        <w:rPr>
          <w:rFonts w:ascii="Calibri" w:hAnsi="Calibri" w:cs="Calibri"/>
          <w:i/>
          <w:iCs/>
          <w:sz w:val="28"/>
          <w:szCs w:val="28"/>
        </w:rPr>
        <w:t xml:space="preserve"> Water Infrastructure – Phase 2:</w:t>
      </w:r>
    </w:p>
    <w:p w14:paraId="4CE8E605" w14:textId="79878908" w:rsidR="009922DE" w:rsidRPr="001B4831" w:rsidRDefault="1E564C49" w:rsidP="001B4831">
      <w:pPr>
        <w:spacing w:after="0" w:line="240" w:lineRule="auto"/>
        <w:rPr>
          <w:rFonts w:ascii="Calibri" w:hAnsi="Calibri" w:cs="Calibri"/>
          <w:b/>
          <w:bCs/>
          <w:sz w:val="28"/>
          <w:szCs w:val="28"/>
        </w:rPr>
      </w:pPr>
      <w:r w:rsidRPr="1E564C49">
        <w:rPr>
          <w:rFonts w:ascii="Calibri" w:hAnsi="Calibri" w:cs="Calibri"/>
          <w:b/>
          <w:bCs/>
          <w:sz w:val="28"/>
          <w:szCs w:val="28"/>
        </w:rPr>
        <w:t xml:space="preserve">Food, Healthcare, Energy, and Data: </w:t>
      </w:r>
      <w:proofErr w:type="gramStart"/>
      <w:r w:rsidRPr="1E564C49">
        <w:rPr>
          <w:rFonts w:ascii="Calibri" w:hAnsi="Calibri" w:cs="Calibri"/>
          <w:b/>
          <w:bCs/>
          <w:sz w:val="28"/>
          <w:szCs w:val="28"/>
        </w:rPr>
        <w:t>the</w:t>
      </w:r>
      <w:proofErr w:type="gramEnd"/>
      <w:r w:rsidRPr="1E564C49">
        <w:rPr>
          <w:rFonts w:ascii="Calibri" w:hAnsi="Calibri" w:cs="Calibri"/>
          <w:b/>
          <w:bCs/>
          <w:sz w:val="28"/>
          <w:szCs w:val="28"/>
        </w:rPr>
        <w:t xml:space="preserve"> Growing Economic Case for Water Infrastructure Investment </w:t>
      </w:r>
    </w:p>
    <w:p w14:paraId="3B4548D5" w14:textId="77777777" w:rsidR="001B4831" w:rsidRPr="001B4831" w:rsidRDefault="001B4831" w:rsidP="001B4831">
      <w:pPr>
        <w:spacing w:after="0" w:line="240" w:lineRule="auto"/>
        <w:rPr>
          <w:rFonts w:ascii="Calibri" w:hAnsi="Calibri" w:cs="Calibri"/>
        </w:rPr>
      </w:pPr>
    </w:p>
    <w:p w14:paraId="1231637D" w14:textId="3F6DBE37" w:rsidR="001B4831" w:rsidRPr="001B4831" w:rsidRDefault="1E564C49" w:rsidP="001B4831">
      <w:pPr>
        <w:spacing w:after="0" w:line="240" w:lineRule="auto"/>
        <w:rPr>
          <w:rFonts w:ascii="Calibri" w:hAnsi="Calibri" w:cs="Calibri"/>
        </w:rPr>
      </w:pPr>
      <w:r w:rsidRPr="1E564C49">
        <w:rPr>
          <w:rFonts w:ascii="Calibri" w:hAnsi="Calibri" w:cs="Calibri"/>
        </w:rPr>
        <w:t>Water is a foundational input for some of the nation’s most critical and economically consequential sectors. Health systems rely on clean, reliable water for patient care and facility operations. Energy systems—from thermoelectric power to hydropower to emerging clean-tech, data, and industrial manufacturing—depend on stable water supplies and resilient infrastructure to maintain grid reliability. And America’s food system, from irrigated agriculture to food manufacturing, cannot function without dependable water for production, processing, and public health protection.</w:t>
      </w:r>
    </w:p>
    <w:p w14:paraId="0BC26D15" w14:textId="77777777" w:rsidR="001B4831" w:rsidRPr="001B4831" w:rsidRDefault="001B4831" w:rsidP="001B4831">
      <w:pPr>
        <w:spacing w:after="0" w:line="240" w:lineRule="auto"/>
        <w:rPr>
          <w:rFonts w:ascii="Calibri" w:hAnsi="Calibri" w:cs="Calibri"/>
        </w:rPr>
      </w:pPr>
    </w:p>
    <w:p w14:paraId="3CDF7AB9" w14:textId="745A6801" w:rsidR="001B4831" w:rsidRPr="001B4831" w:rsidRDefault="1E564C49" w:rsidP="001B4831">
      <w:pPr>
        <w:spacing w:after="0" w:line="240" w:lineRule="auto"/>
        <w:rPr>
          <w:rFonts w:ascii="Calibri" w:hAnsi="Calibri" w:cs="Calibri"/>
        </w:rPr>
      </w:pPr>
      <w:r w:rsidRPr="1E564C49">
        <w:rPr>
          <w:rFonts w:ascii="Calibri" w:hAnsi="Calibri" w:cs="Calibri"/>
        </w:rPr>
        <w:t>Yet across the U.S., aging water infrastructure, climate-related disruptions, and systemic underinvestment are threatening reliability, increasing operational costs, and exposing communities and industries to growing risk. Phase 2 of the Value of Water Campaign’s national research initiative will fill critical knowledge gaps by undertaking sector-specific analyses in healthcare, the energy-data-industry nexus, and food (agriculture + manufactured food). These studies will quantify how investments in water infrastructure strengthen economic resilience, reduce risk, and support long-term prosperity across sectors that anchor regional economies and public wellbeing.</w:t>
      </w:r>
    </w:p>
    <w:p w14:paraId="6473D89B" w14:textId="77777777" w:rsidR="001B4831" w:rsidRPr="001B4831" w:rsidRDefault="001B4831" w:rsidP="001B4831">
      <w:pPr>
        <w:spacing w:after="0" w:line="240" w:lineRule="auto"/>
        <w:rPr>
          <w:rFonts w:ascii="Calibri" w:hAnsi="Calibri" w:cs="Calibri"/>
        </w:rPr>
      </w:pPr>
    </w:p>
    <w:p w14:paraId="07860A9F" w14:textId="0DE88082" w:rsidR="001B4831" w:rsidRPr="001B4831" w:rsidRDefault="001B4831" w:rsidP="001B4831">
      <w:pPr>
        <w:spacing w:after="0" w:line="240" w:lineRule="auto"/>
        <w:rPr>
          <w:rFonts w:ascii="Calibri" w:hAnsi="Calibri" w:cs="Calibri"/>
        </w:rPr>
      </w:pPr>
      <w:r w:rsidRPr="001B4831">
        <w:rPr>
          <w:rFonts w:ascii="Calibri" w:hAnsi="Calibri" w:cs="Calibri"/>
        </w:rPr>
        <w:t xml:space="preserve">This work builds on the </w:t>
      </w:r>
      <w:hyperlink r:id="rId6" w:history="1">
        <w:r w:rsidRPr="006502A1">
          <w:rPr>
            <w:rStyle w:val="Hyperlink"/>
            <w:rFonts w:ascii="Calibri" w:hAnsi="Calibri" w:cs="Calibri"/>
          </w:rPr>
          <w:t>Value of Water Campaign’s Phase 1 research,</w:t>
        </w:r>
      </w:hyperlink>
      <w:r w:rsidRPr="001B4831">
        <w:rPr>
          <w:rFonts w:ascii="Calibri" w:hAnsi="Calibri" w:cs="Calibri"/>
        </w:rPr>
        <w:t xml:space="preserve"> which quantified the national economic benefits of closing the U.S. water infrastructure investment gap. Phase 2 will translate complex data into clear insights tailored to sector leaders, policymakers, and funders—making the case for why water investment is not only a public good, but a strategic economic imperative.</w:t>
      </w:r>
    </w:p>
    <w:p w14:paraId="0CCA132E" w14:textId="77777777" w:rsidR="001B4831" w:rsidRPr="001B4831" w:rsidRDefault="001B4831" w:rsidP="001B4831">
      <w:pPr>
        <w:spacing w:after="0" w:line="240" w:lineRule="auto"/>
        <w:rPr>
          <w:rFonts w:ascii="Calibri" w:hAnsi="Calibri" w:cs="Calibri"/>
        </w:rPr>
      </w:pPr>
    </w:p>
    <w:p w14:paraId="4DFD6361" w14:textId="77777777" w:rsidR="001B4831" w:rsidRPr="001B4831" w:rsidRDefault="001B4831" w:rsidP="001B4831">
      <w:pPr>
        <w:spacing w:after="0" w:line="240" w:lineRule="auto"/>
        <w:rPr>
          <w:rFonts w:ascii="Calibri" w:hAnsi="Calibri" w:cs="Calibri"/>
          <w:b/>
          <w:bCs/>
        </w:rPr>
      </w:pPr>
      <w:r w:rsidRPr="001B4831">
        <w:rPr>
          <w:rFonts w:ascii="Calibri" w:hAnsi="Calibri" w:cs="Calibri"/>
          <w:b/>
          <w:bCs/>
        </w:rPr>
        <w:t>Proposed Analysis</w:t>
      </w:r>
    </w:p>
    <w:p w14:paraId="0CDA60F9" w14:textId="4991410A" w:rsidR="001B4831" w:rsidRDefault="1E564C49" w:rsidP="001B4831">
      <w:pPr>
        <w:spacing w:after="0" w:line="240" w:lineRule="auto"/>
        <w:rPr>
          <w:rFonts w:ascii="Calibri" w:hAnsi="Calibri" w:cs="Calibri"/>
        </w:rPr>
      </w:pPr>
      <w:r w:rsidRPr="1E564C49">
        <w:rPr>
          <w:rFonts w:ascii="Calibri" w:hAnsi="Calibri" w:cs="Calibri"/>
        </w:rPr>
        <w:t>Phase 2 will conduct three sector-specific analyses using a combination of national datasets, economic modeling tools, and scenario and case study analyses across three cornerstone arenas to quantify direct and indirect economic relationships.</w:t>
      </w:r>
    </w:p>
    <w:p w14:paraId="49789508" w14:textId="77777777" w:rsidR="001B4831" w:rsidRPr="001B4831" w:rsidRDefault="001B4831" w:rsidP="001B4831">
      <w:pPr>
        <w:spacing w:after="0" w:line="240" w:lineRule="auto"/>
        <w:rPr>
          <w:rFonts w:ascii="Calibri" w:hAnsi="Calibri" w:cs="Calibri"/>
        </w:rPr>
      </w:pPr>
    </w:p>
    <w:p w14:paraId="30C6F70A" w14:textId="77777777" w:rsidR="001B4831" w:rsidRPr="001B4831" w:rsidRDefault="001B4831" w:rsidP="001B4831">
      <w:pPr>
        <w:spacing w:after="0" w:line="240" w:lineRule="auto"/>
        <w:rPr>
          <w:rFonts w:ascii="Calibri" w:hAnsi="Calibri" w:cs="Calibri"/>
        </w:rPr>
      </w:pPr>
      <w:r w:rsidRPr="001B4831">
        <w:rPr>
          <w:rFonts w:ascii="Calibri" w:hAnsi="Calibri" w:cs="Calibri"/>
        </w:rPr>
        <w:t>1. Healthcare and Health Systems</w:t>
      </w:r>
    </w:p>
    <w:p w14:paraId="18A2D84E" w14:textId="39796B0E" w:rsidR="001B4831" w:rsidRPr="001B4831" w:rsidRDefault="5B7E75DD" w:rsidP="5F52022E">
      <w:pPr>
        <w:numPr>
          <w:ilvl w:val="0"/>
          <w:numId w:val="1"/>
        </w:numPr>
        <w:spacing w:after="0" w:line="240" w:lineRule="auto"/>
        <w:rPr>
          <w:rFonts w:ascii="Calibri" w:eastAsia="Calibri" w:hAnsi="Calibri" w:cs="Calibri"/>
          <w:sz w:val="22"/>
          <w:szCs w:val="22"/>
        </w:rPr>
      </w:pPr>
      <w:r w:rsidRPr="5B7E75DD">
        <w:rPr>
          <w:rFonts w:ascii="Calibri" w:hAnsi="Calibri" w:cs="Calibri"/>
          <w:u w:val="single"/>
        </w:rPr>
        <w:t>Facility Infrastructure:</w:t>
      </w:r>
      <w:r w:rsidRPr="5B7E75DD">
        <w:rPr>
          <w:rFonts w:ascii="Calibri" w:hAnsi="Calibri" w:cs="Calibri"/>
        </w:rPr>
        <w:t xml:space="preserve"> </w:t>
      </w:r>
      <w:r w:rsidRPr="5B7E75DD">
        <w:rPr>
          <w:rFonts w:ascii="Calibri" w:eastAsia="Calibri" w:hAnsi="Calibri" w:cs="Calibri"/>
          <w:color w:val="000000" w:themeColor="text1"/>
        </w:rPr>
        <w:t>How reliable water access and modern onsite systems (backup storage, plumbing resilience, onsite treatment) support continuity of care, reduce risk, and save costs.</w:t>
      </w:r>
    </w:p>
    <w:p w14:paraId="07234AFA" w14:textId="2EA108FC" w:rsidR="001B4831" w:rsidRPr="001B4831" w:rsidRDefault="5B7E75DD" w:rsidP="5F52022E">
      <w:pPr>
        <w:numPr>
          <w:ilvl w:val="0"/>
          <w:numId w:val="1"/>
        </w:numPr>
        <w:spacing w:after="0" w:line="240" w:lineRule="auto"/>
        <w:rPr>
          <w:rFonts w:ascii="Calibri" w:hAnsi="Calibri" w:cs="Calibri"/>
        </w:rPr>
      </w:pPr>
      <w:r w:rsidRPr="5B7E75DD">
        <w:rPr>
          <w:rFonts w:ascii="Calibri" w:hAnsi="Calibri" w:cs="Calibri"/>
          <w:u w:val="single"/>
        </w:rPr>
        <w:t>Public Infrastructure:</w:t>
      </w:r>
      <w:r w:rsidRPr="5B7E75DD">
        <w:rPr>
          <w:rFonts w:ascii="Calibri" w:hAnsi="Calibri" w:cs="Calibri"/>
        </w:rPr>
        <w:t xml:space="preserve"> How coordination between utilities and health systems strengthens water service reliability and reduces and cost of service disruptions. (surveys and case studies given lack of data at scale)</w:t>
      </w:r>
    </w:p>
    <w:p w14:paraId="700014E9" w14:textId="17DEC23B" w:rsidR="001B4831" w:rsidRDefault="5B7E75DD" w:rsidP="001B4831">
      <w:pPr>
        <w:numPr>
          <w:ilvl w:val="0"/>
          <w:numId w:val="1"/>
        </w:numPr>
        <w:spacing w:after="0" w:line="240" w:lineRule="auto"/>
        <w:rPr>
          <w:rFonts w:ascii="Calibri" w:hAnsi="Calibri" w:cs="Calibri"/>
        </w:rPr>
      </w:pPr>
      <w:r w:rsidRPr="5B7E75DD">
        <w:rPr>
          <w:rFonts w:ascii="Calibri" w:hAnsi="Calibri" w:cs="Calibri"/>
          <w:u w:val="single"/>
        </w:rPr>
        <w:lastRenderedPageBreak/>
        <w:t>Community Health:</w:t>
      </w:r>
      <w:r w:rsidRPr="5B7E75DD">
        <w:rPr>
          <w:rFonts w:ascii="Calibri" w:hAnsi="Calibri" w:cs="Calibri"/>
        </w:rPr>
        <w:t xml:space="preserve"> How water and wastewater reliability reduces preventable health impacts—asthma, waterborne illness, flooding-related injuries—and support population-level resilience and the health stakes of underinvestment.</w:t>
      </w:r>
    </w:p>
    <w:p w14:paraId="67045B2F" w14:textId="77777777" w:rsidR="001B4831" w:rsidRPr="001B4831" w:rsidRDefault="001B4831" w:rsidP="001B4831">
      <w:pPr>
        <w:spacing w:after="0" w:line="240" w:lineRule="auto"/>
        <w:ind w:left="720"/>
        <w:rPr>
          <w:rFonts w:ascii="Calibri" w:hAnsi="Calibri" w:cs="Calibri"/>
        </w:rPr>
      </w:pPr>
    </w:p>
    <w:p w14:paraId="4E2F2269" w14:textId="721939A6" w:rsidR="001B4831" w:rsidRPr="001B4831" w:rsidRDefault="1E564C49" w:rsidP="001B4831">
      <w:pPr>
        <w:spacing w:after="0" w:line="240" w:lineRule="auto"/>
        <w:rPr>
          <w:rFonts w:ascii="Calibri" w:hAnsi="Calibri" w:cs="Calibri"/>
        </w:rPr>
      </w:pPr>
      <w:r w:rsidRPr="1E564C49">
        <w:rPr>
          <w:rFonts w:ascii="Calibri" w:hAnsi="Calibri" w:cs="Calibri"/>
        </w:rPr>
        <w:t>2. Energy, Data, and Industrial Systems</w:t>
      </w:r>
    </w:p>
    <w:p w14:paraId="3DB7C046" w14:textId="0B528AC9" w:rsidR="001B4831" w:rsidRPr="001B4831" w:rsidRDefault="3D9BC0E1" w:rsidP="001B4831">
      <w:pPr>
        <w:numPr>
          <w:ilvl w:val="0"/>
          <w:numId w:val="2"/>
        </w:numPr>
        <w:spacing w:after="0" w:line="240" w:lineRule="auto"/>
        <w:rPr>
          <w:rFonts w:ascii="Calibri" w:hAnsi="Calibri" w:cs="Calibri"/>
        </w:rPr>
      </w:pPr>
      <w:r w:rsidRPr="3D9BC0E1">
        <w:rPr>
          <w:rFonts w:ascii="Calibri" w:hAnsi="Calibri" w:cs="Calibri"/>
          <w:u w:val="single"/>
        </w:rPr>
        <w:t>Operational Reliability:</w:t>
      </w:r>
      <w:r w:rsidRPr="3D9BC0E1">
        <w:rPr>
          <w:rFonts w:ascii="Calibri" w:hAnsi="Calibri" w:cs="Calibri"/>
        </w:rPr>
        <w:t xml:space="preserve"> How water service reliability affects output, generative efficiency, and closure risks across energy </w:t>
      </w:r>
      <w:proofErr w:type="gramStart"/>
      <w:r w:rsidRPr="3D9BC0E1">
        <w:rPr>
          <w:rFonts w:ascii="Calibri" w:hAnsi="Calibri" w:cs="Calibri"/>
        </w:rPr>
        <w:t>facilities—</w:t>
      </w:r>
      <w:proofErr w:type="gramEnd"/>
      <w:r w:rsidRPr="3D9BC0E1">
        <w:rPr>
          <w:rFonts w:ascii="Calibri" w:hAnsi="Calibri" w:cs="Calibri"/>
        </w:rPr>
        <w:t xml:space="preserve">including coal, natural gas, hydropower, and other thermoelectric </w:t>
      </w:r>
      <w:proofErr w:type="gramStart"/>
      <w:r w:rsidRPr="3D9BC0E1">
        <w:rPr>
          <w:rFonts w:ascii="Calibri" w:hAnsi="Calibri" w:cs="Calibri"/>
        </w:rPr>
        <w:t>resources—</w:t>
      </w:r>
      <w:proofErr w:type="gramEnd"/>
      <w:r w:rsidRPr="3D9BC0E1">
        <w:rPr>
          <w:rFonts w:ascii="Calibri" w:hAnsi="Calibri" w:cs="Calibri"/>
        </w:rPr>
        <w:t>and how reliable water infrastructure stabilizes energy costs.</w:t>
      </w:r>
    </w:p>
    <w:p w14:paraId="4752DB45" w14:textId="1E690105" w:rsidR="3E844276" w:rsidRDefault="3D9BC0E1" w:rsidP="3D9BC0E1">
      <w:pPr>
        <w:numPr>
          <w:ilvl w:val="0"/>
          <w:numId w:val="2"/>
        </w:numPr>
        <w:spacing w:after="0" w:line="240" w:lineRule="auto"/>
        <w:rPr>
          <w:rFonts w:ascii="Calibri" w:eastAsia="Calibri" w:hAnsi="Calibri" w:cs="Calibri"/>
        </w:rPr>
      </w:pPr>
      <w:r w:rsidRPr="3D9BC0E1">
        <w:rPr>
          <w:rFonts w:ascii="Calibri" w:hAnsi="Calibri" w:cs="Calibri"/>
          <w:u w:val="single"/>
        </w:rPr>
        <w:t>Infrastructure Interdependence:</w:t>
      </w:r>
      <w:r w:rsidRPr="3D9BC0E1">
        <w:rPr>
          <w:rFonts w:ascii="Calibri" w:hAnsi="Calibri" w:cs="Calibri"/>
        </w:rPr>
        <w:t xml:space="preserve"> </w:t>
      </w:r>
      <w:proofErr w:type="gramStart"/>
      <w:r w:rsidRPr="3D9BC0E1">
        <w:rPr>
          <w:rFonts w:ascii="Calibri" w:eastAsia="Calibri" w:hAnsi="Calibri" w:cs="Calibri"/>
        </w:rPr>
        <w:t>How</w:t>
      </w:r>
      <w:proofErr w:type="gramEnd"/>
      <w:r w:rsidRPr="3D9BC0E1">
        <w:rPr>
          <w:rFonts w:ascii="Calibri" w:eastAsia="Calibri" w:hAnsi="Calibri" w:cs="Calibri"/>
        </w:rPr>
        <w:t xml:space="preserve"> coordinated investment among water utilities, energy producers, and major industrial users reduces risk, prevents costly disruptions, supports grid and economic stability, and lowers long-term costs—and what economic losses occur when coordination breaks down (e.g., inflated water-rights markets, groundwater depletion, missed shared-benefit projects).</w:t>
      </w:r>
    </w:p>
    <w:p w14:paraId="3B9F8A7D" w14:textId="6E8F47B8" w:rsidR="3E844276" w:rsidRDefault="3D9BC0E1" w:rsidP="3D9BC0E1">
      <w:pPr>
        <w:numPr>
          <w:ilvl w:val="0"/>
          <w:numId w:val="2"/>
        </w:numPr>
        <w:spacing w:after="0" w:line="240" w:lineRule="auto"/>
        <w:rPr>
          <w:rFonts w:ascii="Calibri" w:eastAsia="Calibri" w:hAnsi="Calibri" w:cs="Calibri"/>
        </w:rPr>
      </w:pPr>
      <w:r w:rsidRPr="3D9BC0E1">
        <w:rPr>
          <w:rFonts w:ascii="Calibri" w:hAnsi="Calibri" w:cs="Calibri"/>
          <w:u w:val="single"/>
        </w:rPr>
        <w:t>Climate &amp; Transition Risk:</w:t>
      </w:r>
      <w:r w:rsidRPr="3D9BC0E1">
        <w:rPr>
          <w:rFonts w:ascii="Calibri" w:hAnsi="Calibri" w:cs="Calibri"/>
        </w:rPr>
        <w:t xml:space="preserve"> </w:t>
      </w:r>
      <w:r w:rsidRPr="3D9BC0E1">
        <w:rPr>
          <w:rFonts w:ascii="Calibri" w:eastAsia="Calibri" w:hAnsi="Calibri" w:cs="Calibri"/>
        </w:rPr>
        <w:t>How targeted water infrastructure investments and well-designed fees for large users reduce costly drought, heat, flooding, and groundwater-depletion risks; manage pollution externalities; and strengthen long-term economic resilience for energy, digital, and industrial sectors.</w:t>
      </w:r>
    </w:p>
    <w:p w14:paraId="0E37203C" w14:textId="7E5AE807" w:rsidR="3E844276" w:rsidRDefault="3D9BC0E1" w:rsidP="3D9BC0E1">
      <w:pPr>
        <w:numPr>
          <w:ilvl w:val="0"/>
          <w:numId w:val="2"/>
        </w:numPr>
        <w:spacing w:after="0" w:line="240" w:lineRule="auto"/>
        <w:rPr>
          <w:rFonts w:ascii="Calibri" w:eastAsia="Calibri" w:hAnsi="Calibri" w:cs="Calibri"/>
        </w:rPr>
      </w:pPr>
      <w:r w:rsidRPr="3D9BC0E1">
        <w:rPr>
          <w:rFonts w:ascii="Calibri" w:eastAsia="Calibri" w:hAnsi="Calibri" w:cs="Calibri"/>
          <w:u w:val="single"/>
        </w:rPr>
        <w:t>Economic Competitiveness, Siting, &amp; Community License to Operate:</w:t>
      </w:r>
      <w:r w:rsidRPr="3D9BC0E1">
        <w:rPr>
          <w:rFonts w:ascii="Calibri" w:eastAsia="Calibri" w:hAnsi="Calibri" w:cs="Calibri"/>
        </w:rPr>
        <w:t xml:space="preserve"> </w:t>
      </w:r>
      <w:r w:rsidRPr="3D9BC0E1">
        <w:rPr>
          <w:rFonts w:ascii="Aptos" w:eastAsia="Aptos" w:hAnsi="Aptos" w:cs="Aptos"/>
        </w:rPr>
        <w:t xml:space="preserve">How integrating industrial and energy-sector water users into resilient, transparently governed water systems shapes state and regional competitiveness. This work will quantify the costs when high-demand users operate outside centralized systems and assess how internalizing those costs—through investments, services agreements, and fees—affects local cost/benefit for </w:t>
      </w:r>
      <w:proofErr w:type="gramStart"/>
      <w:r w:rsidRPr="3D9BC0E1">
        <w:rPr>
          <w:rFonts w:ascii="Aptos" w:eastAsia="Aptos" w:hAnsi="Aptos" w:cs="Aptos"/>
        </w:rPr>
        <w:t>siting</w:t>
      </w:r>
      <w:proofErr w:type="gramEnd"/>
      <w:r w:rsidRPr="3D9BC0E1">
        <w:rPr>
          <w:rFonts w:ascii="Aptos" w:eastAsia="Aptos" w:hAnsi="Aptos" w:cs="Aptos"/>
        </w:rPr>
        <w:t xml:space="preserve"> these industries in greater alignment with community expectations and long-term water needs.</w:t>
      </w:r>
    </w:p>
    <w:p w14:paraId="67825FA6" w14:textId="77777777" w:rsidR="001B4831" w:rsidRPr="001B4831" w:rsidRDefault="001B4831" w:rsidP="001B4831">
      <w:pPr>
        <w:spacing w:after="0" w:line="240" w:lineRule="auto"/>
        <w:ind w:left="720"/>
        <w:rPr>
          <w:rFonts w:ascii="Calibri" w:hAnsi="Calibri" w:cs="Calibri"/>
        </w:rPr>
      </w:pPr>
    </w:p>
    <w:p w14:paraId="6BF8F103" w14:textId="77777777" w:rsidR="001B4831" w:rsidRPr="001B4831" w:rsidRDefault="001B4831" w:rsidP="001B4831">
      <w:pPr>
        <w:spacing w:after="0" w:line="240" w:lineRule="auto"/>
        <w:rPr>
          <w:rFonts w:ascii="Calibri" w:hAnsi="Calibri" w:cs="Calibri"/>
        </w:rPr>
      </w:pPr>
      <w:r w:rsidRPr="001B4831">
        <w:rPr>
          <w:rFonts w:ascii="Calibri" w:hAnsi="Calibri" w:cs="Calibri"/>
        </w:rPr>
        <w:t>3. Food Systems (Agriculture + Manufactured Food)</w:t>
      </w:r>
    </w:p>
    <w:p w14:paraId="484A8A39" w14:textId="77777777" w:rsidR="001B4831" w:rsidRPr="001B4831" w:rsidRDefault="001B4831" w:rsidP="001B4831">
      <w:pPr>
        <w:numPr>
          <w:ilvl w:val="0"/>
          <w:numId w:val="3"/>
        </w:numPr>
        <w:spacing w:after="0" w:line="240" w:lineRule="auto"/>
        <w:rPr>
          <w:rFonts w:ascii="Calibri" w:hAnsi="Calibri" w:cs="Calibri"/>
        </w:rPr>
      </w:pPr>
      <w:r w:rsidRPr="001B4831">
        <w:rPr>
          <w:rFonts w:ascii="Calibri" w:hAnsi="Calibri" w:cs="Calibri"/>
          <w:u w:val="single"/>
        </w:rPr>
        <w:t>Agricultural Productivity:</w:t>
      </w:r>
      <w:r w:rsidRPr="001B4831">
        <w:rPr>
          <w:rFonts w:ascii="Calibri" w:hAnsi="Calibri" w:cs="Calibri"/>
        </w:rPr>
        <w:t xml:space="preserve"> How irrigation modernization and reliable water supplies improve yields, reduce losses, and support climate adaptation.</w:t>
      </w:r>
    </w:p>
    <w:p w14:paraId="6EA594B4" w14:textId="477828AC" w:rsidR="001B4831" w:rsidRPr="001B4831" w:rsidRDefault="3D9BC0E1" w:rsidP="001B4831">
      <w:pPr>
        <w:numPr>
          <w:ilvl w:val="0"/>
          <w:numId w:val="3"/>
        </w:numPr>
        <w:spacing w:after="0" w:line="240" w:lineRule="auto"/>
        <w:rPr>
          <w:rFonts w:ascii="Calibri" w:hAnsi="Calibri" w:cs="Calibri"/>
        </w:rPr>
      </w:pPr>
      <w:r w:rsidRPr="3D9BC0E1">
        <w:rPr>
          <w:rFonts w:ascii="Calibri" w:hAnsi="Calibri" w:cs="Calibri"/>
          <w:u w:val="single"/>
        </w:rPr>
        <w:t>Inter-Sector Dependencies:</w:t>
      </w:r>
      <w:r w:rsidRPr="3D9BC0E1">
        <w:rPr>
          <w:rFonts w:ascii="Calibri" w:hAnsi="Calibri" w:cs="Calibri"/>
        </w:rPr>
        <w:t xml:space="preserve"> How water reliability for producers stabilizes food manufacturing supply chains and economic activity.</w:t>
      </w:r>
    </w:p>
    <w:p w14:paraId="6146C216" w14:textId="22C38C94" w:rsidR="001B4831" w:rsidRPr="001B4831" w:rsidRDefault="3D9BC0E1" w:rsidP="6CD41C77">
      <w:pPr>
        <w:numPr>
          <w:ilvl w:val="0"/>
          <w:numId w:val="3"/>
        </w:numPr>
        <w:spacing w:after="0" w:line="240" w:lineRule="auto"/>
        <w:rPr>
          <w:rFonts w:ascii="Calibri" w:eastAsia="Calibri" w:hAnsi="Calibri" w:cs="Calibri"/>
        </w:rPr>
      </w:pPr>
      <w:r w:rsidRPr="3D9BC0E1">
        <w:rPr>
          <w:rFonts w:ascii="Calibri" w:hAnsi="Calibri" w:cs="Calibri"/>
          <w:u w:val="single"/>
        </w:rPr>
        <w:t xml:space="preserve">Rural Economic Resilience: </w:t>
      </w:r>
      <w:r w:rsidRPr="3D9BC0E1">
        <w:rPr>
          <w:rFonts w:ascii="Aptos" w:eastAsia="Aptos" w:hAnsi="Aptos" w:cs="Aptos"/>
          <w:sz w:val="22"/>
          <w:szCs w:val="22"/>
        </w:rPr>
        <w:t>How modernizing rural drinking water, wastewater, and irrigation systems reduces economic shocks from system failures, avoids the higher long-term costs of deferred maintenance, and supports the viability of farming and small-business communities facing climate and water stress.</w:t>
      </w:r>
    </w:p>
    <w:p w14:paraId="7290BA34" w14:textId="396AA186" w:rsidR="001B4831" w:rsidRPr="001B4831" w:rsidRDefault="001B4831" w:rsidP="001B4831">
      <w:pPr>
        <w:spacing w:after="0" w:line="240" w:lineRule="auto"/>
        <w:rPr>
          <w:rFonts w:ascii="Calibri" w:hAnsi="Calibri" w:cs="Calibri"/>
        </w:rPr>
      </w:pPr>
    </w:p>
    <w:p w14:paraId="35445287" w14:textId="77777777" w:rsidR="001B4831" w:rsidRPr="001B4831" w:rsidRDefault="001B4831" w:rsidP="001B4831">
      <w:pPr>
        <w:spacing w:after="0" w:line="240" w:lineRule="auto"/>
        <w:rPr>
          <w:rFonts w:ascii="Calibri" w:hAnsi="Calibri" w:cs="Calibri"/>
          <w:b/>
          <w:bCs/>
        </w:rPr>
      </w:pPr>
      <w:r w:rsidRPr="001B4831">
        <w:rPr>
          <w:rFonts w:ascii="Calibri" w:hAnsi="Calibri" w:cs="Calibri"/>
          <w:b/>
          <w:bCs/>
        </w:rPr>
        <w:t>Deliverables Across Phase 2</w:t>
      </w:r>
    </w:p>
    <w:p w14:paraId="191EE5C7" w14:textId="2972EFEA" w:rsidR="001B4831" w:rsidRPr="001B4831" w:rsidRDefault="1E564C49" w:rsidP="001B4831">
      <w:pPr>
        <w:spacing w:after="0" w:line="240" w:lineRule="auto"/>
        <w:rPr>
          <w:rFonts w:ascii="Calibri" w:hAnsi="Calibri" w:cs="Calibri"/>
        </w:rPr>
      </w:pPr>
      <w:r w:rsidRPr="1E564C49">
        <w:rPr>
          <w:rFonts w:ascii="Calibri" w:hAnsi="Calibri" w:cs="Calibri"/>
        </w:rPr>
        <w:t>Each sector analysis will produce:</w:t>
      </w:r>
    </w:p>
    <w:p w14:paraId="5161C9E0" w14:textId="76C6375E" w:rsidR="001B4831" w:rsidRPr="001B4831" w:rsidRDefault="1E564C49" w:rsidP="001B4831">
      <w:pPr>
        <w:numPr>
          <w:ilvl w:val="0"/>
          <w:numId w:val="4"/>
        </w:numPr>
        <w:spacing w:after="0" w:line="240" w:lineRule="auto"/>
        <w:rPr>
          <w:rFonts w:ascii="Calibri" w:hAnsi="Calibri" w:cs="Calibri"/>
        </w:rPr>
      </w:pPr>
      <w:r w:rsidRPr="1E564C49">
        <w:rPr>
          <w:rFonts w:ascii="Calibri" w:hAnsi="Calibri" w:cs="Calibri"/>
          <w:u w:val="single"/>
        </w:rPr>
        <w:t>Sector-Specific Economic Impact Briefs:</w:t>
      </w:r>
      <w:r w:rsidRPr="1E564C49">
        <w:rPr>
          <w:rFonts w:ascii="Calibri" w:hAnsi="Calibri" w:cs="Calibri"/>
          <w:b/>
          <w:bCs/>
        </w:rPr>
        <w:t xml:space="preserve"> </w:t>
      </w:r>
      <w:r w:rsidRPr="1E564C49">
        <w:rPr>
          <w:rFonts w:ascii="Calibri" w:hAnsi="Calibri" w:cs="Calibri"/>
        </w:rPr>
        <w:t>Standalone publications within the Value of Water research series, tailored to leaders in food, healthcare, and energy-data-industrial systems.</w:t>
      </w:r>
    </w:p>
    <w:p w14:paraId="2F8A7443" w14:textId="7B783082" w:rsidR="001B4831" w:rsidRPr="001B4831" w:rsidRDefault="1E564C49" w:rsidP="001B4831">
      <w:pPr>
        <w:numPr>
          <w:ilvl w:val="0"/>
          <w:numId w:val="4"/>
        </w:numPr>
        <w:spacing w:after="0" w:line="240" w:lineRule="auto"/>
        <w:rPr>
          <w:rFonts w:ascii="Calibri" w:hAnsi="Calibri" w:cs="Calibri"/>
        </w:rPr>
      </w:pPr>
      <w:r w:rsidRPr="1E564C49">
        <w:rPr>
          <w:rFonts w:ascii="Calibri" w:hAnsi="Calibri" w:cs="Calibri"/>
          <w:u w:val="single"/>
        </w:rPr>
        <w:t>Case Profiles:</w:t>
      </w:r>
      <w:r w:rsidRPr="1E564C49">
        <w:rPr>
          <w:rFonts w:ascii="Calibri" w:hAnsi="Calibri" w:cs="Calibri"/>
          <w:b/>
          <w:bCs/>
        </w:rPr>
        <w:t xml:space="preserve"> </w:t>
      </w:r>
      <w:r w:rsidRPr="1E564C49">
        <w:rPr>
          <w:rFonts w:ascii="Calibri" w:hAnsi="Calibri" w:cs="Calibri"/>
        </w:rPr>
        <w:t xml:space="preserve">Illustrating real-world disruptions, resilience strategies, and the economic benefits of water investment—drawing from diverse geographies and recent analyses </w:t>
      </w:r>
      <w:r w:rsidRPr="1E564C49">
        <w:rPr>
          <w:rFonts w:ascii="Calibri" w:hAnsi="Calibri" w:cs="Calibri"/>
        </w:rPr>
        <w:lastRenderedPageBreak/>
        <w:t>(e.g., Colorado River Basin, California, Florida, Midwest health systems, Gulf Coast energy disruptions).</w:t>
      </w:r>
    </w:p>
    <w:p w14:paraId="6D9AF8AB" w14:textId="5513CE45" w:rsidR="001B4831" w:rsidRPr="001B4831" w:rsidRDefault="47C21501" w:rsidP="001B4831">
      <w:pPr>
        <w:numPr>
          <w:ilvl w:val="0"/>
          <w:numId w:val="4"/>
        </w:numPr>
        <w:spacing w:after="0" w:line="240" w:lineRule="auto"/>
        <w:rPr>
          <w:rFonts w:ascii="Calibri" w:hAnsi="Calibri" w:cs="Calibri"/>
        </w:rPr>
      </w:pPr>
      <w:r w:rsidRPr="47C21501">
        <w:rPr>
          <w:rFonts w:ascii="Calibri" w:hAnsi="Calibri" w:cs="Calibri"/>
          <w:u w:val="single"/>
        </w:rPr>
        <w:t>Launch &amp; Engagement Events:</w:t>
      </w:r>
      <w:r w:rsidRPr="47C21501">
        <w:rPr>
          <w:rFonts w:ascii="Calibri" w:hAnsi="Calibri" w:cs="Calibri"/>
          <w:b/>
          <w:bCs/>
        </w:rPr>
        <w:t xml:space="preserve"> </w:t>
      </w:r>
      <w:r w:rsidRPr="47C21501">
        <w:rPr>
          <w:rFonts w:ascii="Calibri" w:hAnsi="Calibri" w:cs="Calibri"/>
        </w:rPr>
        <w:t>Hosted with sector partners—health systems, energy utilities and leaders, agricultural organizations, and manufacturers—to raise awareness, share findings, and drive multisector engagement.</w:t>
      </w:r>
    </w:p>
    <w:p w14:paraId="40B46EA5" w14:textId="77777777" w:rsidR="001B4831" w:rsidRDefault="001B4831" w:rsidP="001B4831"/>
    <w:p w14:paraId="47684BF1" w14:textId="77777777" w:rsidR="001B4831" w:rsidRPr="003872E7" w:rsidRDefault="001B4831" w:rsidP="001B4831">
      <w:pPr>
        <w:spacing w:after="0" w:line="240" w:lineRule="auto"/>
        <w:rPr>
          <w:rFonts w:ascii="Calibri" w:hAnsi="Calibri" w:cs="Calibri"/>
          <w:b/>
          <w:bCs/>
        </w:rPr>
      </w:pPr>
      <w:r w:rsidRPr="003872E7">
        <w:rPr>
          <w:rFonts w:ascii="Calibri" w:hAnsi="Calibri" w:cs="Calibri"/>
          <w:b/>
          <w:bCs/>
        </w:rPr>
        <w:t>Funding Opportunity</w:t>
      </w:r>
    </w:p>
    <w:p w14:paraId="07362888" w14:textId="77777777" w:rsidR="001B4831" w:rsidRPr="003872E7" w:rsidRDefault="001B4831" w:rsidP="006502A1">
      <w:pPr>
        <w:spacing w:after="0" w:line="240" w:lineRule="auto"/>
        <w:rPr>
          <w:rFonts w:ascii="Calibri" w:hAnsi="Calibri" w:cs="Calibri"/>
        </w:rPr>
      </w:pPr>
      <w:r w:rsidRPr="003872E7">
        <w:rPr>
          <w:rFonts w:ascii="Calibri" w:hAnsi="Calibri" w:cs="Calibri"/>
        </w:rPr>
        <w:t>The research partnership seeks $200,000 — including data modeling, sector-specific economic insights, case studies, and dissemination.</w:t>
      </w:r>
    </w:p>
    <w:p w14:paraId="43BDA3ED" w14:textId="77777777" w:rsidR="001B4831" w:rsidRPr="003872E7" w:rsidRDefault="001B4831" w:rsidP="006502A1">
      <w:pPr>
        <w:spacing w:after="0" w:line="240" w:lineRule="auto"/>
        <w:rPr>
          <w:rFonts w:ascii="Calibri" w:hAnsi="Calibri" w:cs="Calibri"/>
        </w:rPr>
      </w:pPr>
    </w:p>
    <w:p w14:paraId="5D468F9E" w14:textId="77777777" w:rsidR="001B4831" w:rsidRPr="003872E7" w:rsidRDefault="1E564C49" w:rsidP="006502A1">
      <w:pPr>
        <w:spacing w:after="0" w:line="240" w:lineRule="auto"/>
        <w:rPr>
          <w:rFonts w:ascii="Calibri" w:hAnsi="Calibri" w:cs="Calibri"/>
        </w:rPr>
      </w:pPr>
      <w:r w:rsidRPr="1E564C49">
        <w:rPr>
          <w:rFonts w:ascii="Calibri" w:hAnsi="Calibri" w:cs="Calibri"/>
        </w:rPr>
        <w:t>Funders are encouraged to contribute $40,000 or more and will have the opportunity to:</w:t>
      </w:r>
    </w:p>
    <w:p w14:paraId="7700760A" w14:textId="1AB6EA6C" w:rsidR="001B4831" w:rsidRPr="003872E7" w:rsidRDefault="47C21501" w:rsidP="006502A1">
      <w:pPr>
        <w:pStyle w:val="ListParagraph"/>
        <w:numPr>
          <w:ilvl w:val="0"/>
          <w:numId w:val="5"/>
        </w:numPr>
        <w:spacing w:after="0" w:line="240" w:lineRule="auto"/>
        <w:rPr>
          <w:rFonts w:ascii="Calibri" w:hAnsi="Calibri" w:cs="Calibri"/>
        </w:rPr>
      </w:pPr>
      <w:r w:rsidRPr="47C21501">
        <w:rPr>
          <w:rFonts w:ascii="Calibri" w:hAnsi="Calibri" w:cs="Calibri"/>
        </w:rPr>
        <w:t>Support a first-of-its-kind quantification of the economic value of water investments in these critical sectors.</w:t>
      </w:r>
    </w:p>
    <w:p w14:paraId="67BD4F12" w14:textId="77777777" w:rsidR="001B4831" w:rsidRPr="003872E7" w:rsidRDefault="001B4831" w:rsidP="006502A1">
      <w:pPr>
        <w:pStyle w:val="ListParagraph"/>
        <w:numPr>
          <w:ilvl w:val="0"/>
          <w:numId w:val="5"/>
        </w:numPr>
        <w:spacing w:after="0" w:line="240" w:lineRule="auto"/>
        <w:rPr>
          <w:rFonts w:ascii="Calibri" w:hAnsi="Calibri" w:cs="Calibri"/>
        </w:rPr>
      </w:pPr>
      <w:r w:rsidRPr="003872E7">
        <w:rPr>
          <w:rFonts w:ascii="Calibri" w:hAnsi="Calibri" w:cs="Calibri"/>
        </w:rPr>
        <w:t>Be acknowledged as a sector partner in national communications, launch events, and media.</w:t>
      </w:r>
    </w:p>
    <w:p w14:paraId="648F660A" w14:textId="77777777" w:rsidR="001B4831" w:rsidRPr="003872E7" w:rsidRDefault="001B4831" w:rsidP="006502A1">
      <w:pPr>
        <w:pStyle w:val="ListParagraph"/>
        <w:numPr>
          <w:ilvl w:val="0"/>
          <w:numId w:val="5"/>
        </w:numPr>
        <w:spacing w:after="0" w:line="240" w:lineRule="auto"/>
        <w:rPr>
          <w:rFonts w:ascii="Calibri" w:hAnsi="Calibri" w:cs="Calibri"/>
        </w:rPr>
      </w:pPr>
      <w:r w:rsidRPr="003872E7">
        <w:rPr>
          <w:rFonts w:ascii="Calibri" w:hAnsi="Calibri" w:cs="Calibri"/>
        </w:rPr>
        <w:t>Receive a custom research briefing for their leadership team or other key personnel.</w:t>
      </w:r>
    </w:p>
    <w:p w14:paraId="6C4A7B2D" w14:textId="78353F18" w:rsidR="001B4831" w:rsidRPr="003872E7" w:rsidRDefault="47C21501" w:rsidP="006502A1">
      <w:pPr>
        <w:pStyle w:val="ListParagraph"/>
        <w:numPr>
          <w:ilvl w:val="0"/>
          <w:numId w:val="5"/>
        </w:numPr>
        <w:spacing w:after="0" w:line="240" w:lineRule="auto"/>
        <w:rPr>
          <w:rFonts w:ascii="Calibri" w:hAnsi="Calibri" w:cs="Calibri"/>
        </w:rPr>
      </w:pPr>
      <w:r w:rsidRPr="47C21501">
        <w:rPr>
          <w:rFonts w:ascii="Calibri" w:hAnsi="Calibri" w:cs="Calibri"/>
        </w:rPr>
        <w:t>Help advance the field’s understanding of the link between water, key sectors, and economic stability.</w:t>
      </w:r>
    </w:p>
    <w:p w14:paraId="271619E6" w14:textId="77777777" w:rsidR="006502A1" w:rsidRDefault="006502A1" w:rsidP="006502A1">
      <w:pPr>
        <w:spacing w:after="0" w:line="240" w:lineRule="auto"/>
        <w:rPr>
          <w:rFonts w:ascii="Calibri" w:hAnsi="Calibri" w:cs="Calibri"/>
        </w:rPr>
      </w:pPr>
    </w:p>
    <w:p w14:paraId="73B0EF96" w14:textId="5A1FA0CA" w:rsidR="001B4831" w:rsidRPr="006502A1" w:rsidRDefault="55FBC986" w:rsidP="55FBC986">
      <w:pPr>
        <w:spacing w:after="0" w:line="240" w:lineRule="auto"/>
        <w:rPr>
          <w:rFonts w:ascii="Calibri" w:hAnsi="Calibri" w:cs="Calibri"/>
        </w:rPr>
      </w:pPr>
      <w:r w:rsidRPr="55FBC986">
        <w:rPr>
          <w:rFonts w:ascii="Calibri" w:hAnsi="Calibri" w:cs="Calibri"/>
        </w:rPr>
        <w:t xml:space="preserve">This is an opportunity to match the water sector’s commitment and join a coalition advancing a stronger, smarter future for water. For more information, contact: Emily Simonson at </w:t>
      </w:r>
      <w:hyperlink r:id="rId7">
        <w:r w:rsidRPr="55FBC986">
          <w:rPr>
            <w:rStyle w:val="Hyperlink"/>
            <w:rFonts w:ascii="Calibri" w:hAnsi="Calibri" w:cs="Calibri"/>
          </w:rPr>
          <w:t>esimonson@uswateralliance.org</w:t>
        </w:r>
      </w:hyperlink>
      <w:r w:rsidRPr="55FBC986">
        <w:rPr>
          <w:rFonts w:ascii="Calibri" w:hAnsi="Calibri" w:cs="Calibri"/>
        </w:rPr>
        <w:t>.</w:t>
      </w:r>
    </w:p>
    <w:sectPr w:rsidR="001B4831" w:rsidRPr="00650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E80"/>
    <w:multiLevelType w:val="multilevel"/>
    <w:tmpl w:val="AB2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6CA2"/>
    <w:multiLevelType w:val="multilevel"/>
    <w:tmpl w:val="9506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A3EF6"/>
    <w:multiLevelType w:val="hybridMultilevel"/>
    <w:tmpl w:val="610C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A7B41"/>
    <w:multiLevelType w:val="multilevel"/>
    <w:tmpl w:val="5CFC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D0408"/>
    <w:multiLevelType w:val="multilevel"/>
    <w:tmpl w:val="BE12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94095">
    <w:abstractNumId w:val="3"/>
  </w:num>
  <w:num w:numId="2" w16cid:durableId="661355721">
    <w:abstractNumId w:val="1"/>
  </w:num>
  <w:num w:numId="3" w16cid:durableId="1810440263">
    <w:abstractNumId w:val="4"/>
  </w:num>
  <w:num w:numId="4" w16cid:durableId="1792822971">
    <w:abstractNumId w:val="0"/>
  </w:num>
  <w:num w:numId="5" w16cid:durableId="1109282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31"/>
    <w:rsid w:val="001B4831"/>
    <w:rsid w:val="00580A3D"/>
    <w:rsid w:val="006502A1"/>
    <w:rsid w:val="007D5658"/>
    <w:rsid w:val="00854D69"/>
    <w:rsid w:val="009922DE"/>
    <w:rsid w:val="00BD12AC"/>
    <w:rsid w:val="05D657EE"/>
    <w:rsid w:val="083BAB9B"/>
    <w:rsid w:val="1225206C"/>
    <w:rsid w:val="124D2D98"/>
    <w:rsid w:val="1AC325C0"/>
    <w:rsid w:val="1E564C49"/>
    <w:rsid w:val="34966F39"/>
    <w:rsid w:val="354D28B8"/>
    <w:rsid w:val="3D9BC0E1"/>
    <w:rsid w:val="3E844276"/>
    <w:rsid w:val="43D0D455"/>
    <w:rsid w:val="47C21501"/>
    <w:rsid w:val="4B126224"/>
    <w:rsid w:val="4CFE0398"/>
    <w:rsid w:val="55FBC986"/>
    <w:rsid w:val="5734A40B"/>
    <w:rsid w:val="5B7E75DD"/>
    <w:rsid w:val="5F52022E"/>
    <w:rsid w:val="6C209E51"/>
    <w:rsid w:val="6CD41C77"/>
    <w:rsid w:val="72159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B41C"/>
  <w15:chartTrackingRefBased/>
  <w15:docId w15:val="{A32E5064-C486-4789-AF21-84E23465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831"/>
    <w:rPr>
      <w:rFonts w:eastAsiaTheme="majorEastAsia" w:cstheme="majorBidi"/>
      <w:color w:val="272727" w:themeColor="text1" w:themeTint="D8"/>
    </w:rPr>
  </w:style>
  <w:style w:type="paragraph" w:styleId="Title">
    <w:name w:val="Title"/>
    <w:basedOn w:val="Normal"/>
    <w:next w:val="Normal"/>
    <w:link w:val="TitleChar"/>
    <w:uiPriority w:val="10"/>
    <w:qFormat/>
    <w:rsid w:val="001B4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831"/>
    <w:pPr>
      <w:spacing w:before="160"/>
      <w:jc w:val="center"/>
    </w:pPr>
    <w:rPr>
      <w:i/>
      <w:iCs/>
      <w:color w:val="404040" w:themeColor="text1" w:themeTint="BF"/>
    </w:rPr>
  </w:style>
  <w:style w:type="character" w:customStyle="1" w:styleId="QuoteChar">
    <w:name w:val="Quote Char"/>
    <w:basedOn w:val="DefaultParagraphFont"/>
    <w:link w:val="Quote"/>
    <w:uiPriority w:val="29"/>
    <w:rsid w:val="001B4831"/>
    <w:rPr>
      <w:i/>
      <w:iCs/>
      <w:color w:val="404040" w:themeColor="text1" w:themeTint="BF"/>
    </w:rPr>
  </w:style>
  <w:style w:type="paragraph" w:styleId="ListParagraph">
    <w:name w:val="List Paragraph"/>
    <w:basedOn w:val="Normal"/>
    <w:uiPriority w:val="34"/>
    <w:qFormat/>
    <w:rsid w:val="001B4831"/>
    <w:pPr>
      <w:ind w:left="720"/>
      <w:contextualSpacing/>
    </w:pPr>
  </w:style>
  <w:style w:type="character" w:styleId="IntenseEmphasis">
    <w:name w:val="Intense Emphasis"/>
    <w:basedOn w:val="DefaultParagraphFont"/>
    <w:uiPriority w:val="21"/>
    <w:qFormat/>
    <w:rsid w:val="001B4831"/>
    <w:rPr>
      <w:i/>
      <w:iCs/>
      <w:color w:val="0F4761" w:themeColor="accent1" w:themeShade="BF"/>
    </w:rPr>
  </w:style>
  <w:style w:type="paragraph" w:styleId="IntenseQuote">
    <w:name w:val="Intense Quote"/>
    <w:basedOn w:val="Normal"/>
    <w:next w:val="Normal"/>
    <w:link w:val="IntenseQuoteChar"/>
    <w:uiPriority w:val="30"/>
    <w:qFormat/>
    <w:rsid w:val="001B4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831"/>
    <w:rPr>
      <w:i/>
      <w:iCs/>
      <w:color w:val="0F4761" w:themeColor="accent1" w:themeShade="BF"/>
    </w:rPr>
  </w:style>
  <w:style w:type="character" w:styleId="IntenseReference">
    <w:name w:val="Intense Reference"/>
    <w:basedOn w:val="DefaultParagraphFont"/>
    <w:uiPriority w:val="32"/>
    <w:qFormat/>
    <w:rsid w:val="001B4831"/>
    <w:rPr>
      <w:b/>
      <w:bCs/>
      <w:smallCaps/>
      <w:color w:val="0F4761" w:themeColor="accent1" w:themeShade="BF"/>
      <w:spacing w:val="5"/>
    </w:rPr>
  </w:style>
  <w:style w:type="character" w:styleId="Hyperlink">
    <w:name w:val="Hyperlink"/>
    <w:basedOn w:val="DefaultParagraphFont"/>
    <w:uiPriority w:val="99"/>
    <w:unhideWhenUsed/>
    <w:rsid w:val="001B4831"/>
    <w:rPr>
      <w:color w:val="467886" w:themeColor="hyperlink"/>
      <w:u w:val="single"/>
    </w:rPr>
  </w:style>
  <w:style w:type="character" w:styleId="UnresolvedMention">
    <w:name w:val="Unresolved Mention"/>
    <w:basedOn w:val="DefaultParagraphFont"/>
    <w:uiPriority w:val="99"/>
    <w:semiHidden/>
    <w:unhideWhenUsed/>
    <w:rsid w:val="001B4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imonson@uswateralli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valueofwater.org/econimpac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Simonson</dc:creator>
  <cp:keywords/>
  <dc:description/>
  <cp:lastModifiedBy>Emily Simonson</cp:lastModifiedBy>
  <cp:revision>24</cp:revision>
  <dcterms:created xsi:type="dcterms:W3CDTF">2025-11-18T16:03:00Z</dcterms:created>
  <dcterms:modified xsi:type="dcterms:W3CDTF">2026-01-07T13:25:00Z</dcterms:modified>
</cp:coreProperties>
</file>